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20" w:beforeLines="50" w:line="360" w:lineRule="auto"/>
        <w:outlineLvl w:val="1"/>
        <w:rPr>
          <w:rFonts w:ascii="宋体" w:hAnsi="宋体" w:eastAsia="宋体" w:cs="宋体"/>
          <w:b/>
          <w:bCs/>
          <w:highlight w:val="none"/>
        </w:rPr>
      </w:pPr>
      <w:bookmarkStart w:id="0" w:name="_Toc29898"/>
      <w:r>
        <w:rPr>
          <w:rFonts w:hint="eastAsia" w:ascii="宋体" w:hAnsi="宋体" w:eastAsia="宋体" w:cs="宋体"/>
          <w:b/>
          <w:bCs/>
          <w:highlight w:val="none"/>
        </w:rPr>
        <w:t>一、采购标的的数量、采购项目交付或者实施的时间和地点</w:t>
      </w:r>
      <w:bookmarkEnd w:id="0"/>
    </w:p>
    <w:p>
      <w:pPr>
        <w:rPr>
          <w:rFonts w:ascii="宋体" w:hAnsi="宋体" w:eastAsia="宋体" w:cs="宋体"/>
          <w:highlight w:val="none"/>
        </w:rPr>
      </w:pPr>
      <w:r>
        <w:rPr>
          <w:rFonts w:hint="eastAsia" w:ascii="宋体" w:hAnsi="宋体" w:eastAsia="宋体" w:cs="宋体"/>
          <w:highlight w:val="none"/>
        </w:rPr>
        <w:t>1、采购标的的数量</w:t>
      </w:r>
    </w:p>
    <w:p>
      <w:pPr>
        <w:rPr>
          <w:rFonts w:ascii="宋体" w:hAnsi="宋体" w:eastAsia="宋体" w:cs="宋体"/>
          <w:highlight w:val="none"/>
        </w:rPr>
      </w:pPr>
    </w:p>
    <w:tbl>
      <w:tblPr>
        <w:tblStyle w:val="2"/>
        <w:tblW w:w="888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80"/>
        <w:gridCol w:w="1093"/>
        <w:gridCol w:w="894"/>
        <w:gridCol w:w="894"/>
        <w:gridCol w:w="866"/>
        <w:gridCol w:w="867"/>
        <w:gridCol w:w="1186"/>
        <w:gridCol w:w="1639"/>
        <w:gridCol w:w="86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7" w:hRule="atLeast"/>
          <w:tblHeader/>
          <w:jc w:val="center"/>
        </w:trPr>
        <w:tc>
          <w:tcPr>
            <w:tcW w:w="580" w:type="dxa"/>
            <w:tcBorders>
              <w:left w:val="single" w:color="auto" w:sz="4" w:space="0"/>
              <w:right w:val="single" w:color="auto" w:sz="4" w:space="0"/>
            </w:tcBorders>
            <w:vAlign w:val="center"/>
          </w:tcPr>
          <w:p>
            <w:pPr>
              <w:autoSpaceDE w:val="0"/>
              <w:autoSpaceDN w:val="0"/>
              <w:jc w:val="center"/>
              <w:rPr>
                <w:rFonts w:ascii="宋体" w:hAnsi="宋体" w:eastAsia="宋体" w:cs="宋体"/>
                <w:b/>
                <w:kern w:val="0"/>
                <w:szCs w:val="21"/>
                <w:highlight w:val="none"/>
              </w:rPr>
            </w:pPr>
            <w:r>
              <w:rPr>
                <w:rFonts w:hint="eastAsia" w:ascii="宋体" w:hAnsi="宋体" w:eastAsia="宋体" w:cs="宋体"/>
                <w:b/>
                <w:kern w:val="0"/>
                <w:szCs w:val="21"/>
                <w:highlight w:val="none"/>
              </w:rPr>
              <w:t>序号</w:t>
            </w:r>
          </w:p>
        </w:tc>
        <w:tc>
          <w:tcPr>
            <w:tcW w:w="1093" w:type="dxa"/>
            <w:tcBorders>
              <w:left w:val="single" w:color="auto" w:sz="4" w:space="0"/>
              <w:right w:val="single" w:color="auto" w:sz="4" w:space="0"/>
            </w:tcBorders>
            <w:vAlign w:val="center"/>
          </w:tcPr>
          <w:p>
            <w:pPr>
              <w:autoSpaceDE w:val="0"/>
              <w:autoSpaceDN w:val="0"/>
              <w:jc w:val="center"/>
              <w:rPr>
                <w:rFonts w:ascii="宋体" w:hAnsi="宋体" w:eastAsia="宋体" w:cs="宋体"/>
                <w:b/>
                <w:kern w:val="0"/>
                <w:szCs w:val="21"/>
                <w:highlight w:val="none"/>
              </w:rPr>
            </w:pPr>
            <w:r>
              <w:rPr>
                <w:rFonts w:hint="eastAsia" w:ascii="宋体" w:hAnsi="宋体" w:eastAsia="宋体" w:cs="宋体"/>
                <w:b/>
                <w:kern w:val="0"/>
                <w:szCs w:val="21"/>
                <w:highlight w:val="none"/>
              </w:rPr>
              <w:t>货物名称</w:t>
            </w:r>
          </w:p>
        </w:tc>
        <w:tc>
          <w:tcPr>
            <w:tcW w:w="894" w:type="dxa"/>
            <w:tcBorders>
              <w:left w:val="single" w:color="auto" w:sz="4" w:space="0"/>
              <w:right w:val="single" w:color="auto" w:sz="4" w:space="0"/>
            </w:tcBorders>
            <w:vAlign w:val="center"/>
          </w:tcPr>
          <w:p>
            <w:pPr>
              <w:autoSpaceDE w:val="0"/>
              <w:autoSpaceDN w:val="0"/>
              <w:jc w:val="center"/>
              <w:rPr>
                <w:rFonts w:hint="eastAsia" w:ascii="宋体" w:hAnsi="宋体" w:eastAsia="宋体" w:cs="宋体"/>
                <w:b/>
                <w:kern w:val="0"/>
                <w:szCs w:val="21"/>
                <w:highlight w:val="none"/>
                <w:lang w:val="en-US" w:eastAsia="zh-CN"/>
              </w:rPr>
            </w:pPr>
            <w:r>
              <w:rPr>
                <w:rFonts w:hint="eastAsia" w:ascii="宋体" w:hAnsi="宋体" w:eastAsia="宋体" w:cs="宋体"/>
                <w:b/>
                <w:kern w:val="0"/>
                <w:szCs w:val="21"/>
                <w:highlight w:val="none"/>
                <w:lang w:val="en-US" w:eastAsia="zh-CN"/>
              </w:rPr>
              <w:t>位置</w:t>
            </w:r>
          </w:p>
        </w:tc>
        <w:tc>
          <w:tcPr>
            <w:tcW w:w="894" w:type="dxa"/>
            <w:tcBorders>
              <w:left w:val="single" w:color="auto" w:sz="4" w:space="0"/>
              <w:right w:val="single" w:color="auto" w:sz="4" w:space="0"/>
            </w:tcBorders>
            <w:vAlign w:val="center"/>
          </w:tcPr>
          <w:p>
            <w:pPr>
              <w:autoSpaceDE w:val="0"/>
              <w:autoSpaceDN w:val="0"/>
              <w:jc w:val="center"/>
              <w:rPr>
                <w:rFonts w:ascii="宋体" w:hAnsi="宋体" w:eastAsia="宋体" w:cs="宋体"/>
                <w:b/>
                <w:kern w:val="0"/>
                <w:szCs w:val="21"/>
                <w:highlight w:val="none"/>
              </w:rPr>
            </w:pPr>
            <w:r>
              <w:rPr>
                <w:rFonts w:hint="eastAsia" w:ascii="宋体" w:hAnsi="宋体" w:eastAsia="宋体" w:cs="宋体"/>
                <w:b/>
                <w:kern w:val="0"/>
                <w:szCs w:val="21"/>
                <w:highlight w:val="none"/>
              </w:rPr>
              <w:t>是否核心产品</w:t>
            </w:r>
          </w:p>
        </w:tc>
        <w:tc>
          <w:tcPr>
            <w:tcW w:w="866" w:type="dxa"/>
            <w:tcBorders>
              <w:left w:val="single" w:color="auto" w:sz="4" w:space="0"/>
              <w:right w:val="single" w:color="auto" w:sz="4" w:space="0"/>
            </w:tcBorders>
            <w:vAlign w:val="center"/>
          </w:tcPr>
          <w:p>
            <w:pPr>
              <w:jc w:val="center"/>
              <w:rPr>
                <w:rFonts w:ascii="宋体" w:hAnsi="宋体" w:eastAsia="宋体" w:cs="宋体"/>
                <w:b/>
                <w:bCs/>
                <w:kern w:val="0"/>
                <w:szCs w:val="21"/>
                <w:highlight w:val="none"/>
              </w:rPr>
            </w:pPr>
            <w:r>
              <w:rPr>
                <w:rFonts w:hint="eastAsia" w:ascii="宋体" w:hAnsi="宋体" w:eastAsia="宋体" w:cs="宋体"/>
                <w:b/>
                <w:bCs/>
                <w:kern w:val="0"/>
                <w:szCs w:val="21"/>
                <w:highlight w:val="none"/>
              </w:rPr>
              <w:t>是否接受进口</w:t>
            </w:r>
          </w:p>
        </w:tc>
        <w:tc>
          <w:tcPr>
            <w:tcW w:w="867" w:type="dxa"/>
            <w:tcBorders>
              <w:left w:val="single" w:color="auto" w:sz="4" w:space="0"/>
              <w:bottom w:val="single" w:color="auto" w:sz="4" w:space="0"/>
              <w:right w:val="single" w:color="auto" w:sz="4" w:space="0"/>
            </w:tcBorders>
            <w:vAlign w:val="center"/>
          </w:tcPr>
          <w:p>
            <w:pPr>
              <w:jc w:val="center"/>
              <w:rPr>
                <w:rFonts w:ascii="宋体" w:hAnsi="宋体" w:eastAsia="宋体" w:cs="宋体"/>
                <w:b/>
                <w:bCs/>
                <w:kern w:val="0"/>
                <w:szCs w:val="21"/>
                <w:highlight w:val="none"/>
              </w:rPr>
            </w:pPr>
            <w:r>
              <w:rPr>
                <w:rFonts w:hint="eastAsia" w:ascii="宋体" w:hAnsi="宋体" w:eastAsia="宋体" w:cs="宋体"/>
                <w:b/>
                <w:bCs/>
                <w:kern w:val="0"/>
                <w:szCs w:val="21"/>
                <w:highlight w:val="none"/>
              </w:rPr>
              <w:t>数量</w:t>
            </w:r>
          </w:p>
        </w:tc>
        <w:tc>
          <w:tcPr>
            <w:tcW w:w="1186" w:type="dxa"/>
            <w:tcBorders>
              <w:left w:val="single" w:color="auto" w:sz="4" w:space="0"/>
              <w:bottom w:val="single" w:color="auto" w:sz="4" w:space="0"/>
            </w:tcBorders>
            <w:vAlign w:val="center"/>
          </w:tcPr>
          <w:p>
            <w:pPr>
              <w:jc w:val="center"/>
              <w:rPr>
                <w:rFonts w:ascii="宋体" w:hAnsi="宋体" w:eastAsia="宋体" w:cs="宋体"/>
                <w:b/>
                <w:bCs/>
                <w:kern w:val="0"/>
                <w:szCs w:val="21"/>
                <w:highlight w:val="none"/>
              </w:rPr>
            </w:pPr>
            <w:r>
              <w:rPr>
                <w:rFonts w:hint="eastAsia" w:ascii="宋体" w:hAnsi="宋体" w:eastAsia="宋体" w:cs="宋体"/>
                <w:b/>
                <w:bCs/>
                <w:kern w:val="0"/>
                <w:szCs w:val="21"/>
                <w:highlight w:val="none"/>
              </w:rPr>
              <w:t>单价限价</w:t>
            </w:r>
          </w:p>
          <w:p>
            <w:pPr>
              <w:jc w:val="center"/>
              <w:rPr>
                <w:rFonts w:ascii="宋体" w:hAnsi="宋体" w:eastAsia="宋体" w:cs="宋体"/>
                <w:b/>
                <w:bCs/>
                <w:kern w:val="0"/>
                <w:szCs w:val="21"/>
                <w:highlight w:val="none"/>
              </w:rPr>
            </w:pPr>
            <w:r>
              <w:rPr>
                <w:rFonts w:hint="eastAsia" w:ascii="宋体" w:hAnsi="宋体" w:eastAsia="宋体" w:cs="宋体"/>
                <w:b/>
                <w:bCs/>
                <w:kern w:val="0"/>
                <w:szCs w:val="21"/>
                <w:highlight w:val="none"/>
              </w:rPr>
              <w:t>（元）</w:t>
            </w:r>
          </w:p>
        </w:tc>
        <w:tc>
          <w:tcPr>
            <w:tcW w:w="1639" w:type="dxa"/>
            <w:tcBorders>
              <w:left w:val="single" w:color="auto" w:sz="4" w:space="0"/>
              <w:bottom w:val="single" w:color="auto" w:sz="4" w:space="0"/>
            </w:tcBorders>
            <w:vAlign w:val="center"/>
          </w:tcPr>
          <w:p>
            <w:pPr>
              <w:autoSpaceDE w:val="0"/>
              <w:autoSpaceDN w:val="0"/>
              <w:jc w:val="center"/>
              <w:rPr>
                <w:rFonts w:ascii="宋体" w:hAnsi="宋体" w:eastAsia="宋体" w:cs="宋体"/>
                <w:b/>
                <w:kern w:val="0"/>
                <w:szCs w:val="21"/>
                <w:highlight w:val="none"/>
              </w:rPr>
            </w:pPr>
            <w:r>
              <w:rPr>
                <w:rFonts w:hint="eastAsia" w:ascii="宋体" w:hAnsi="宋体" w:eastAsia="宋体" w:cs="宋体"/>
                <w:b/>
                <w:kern w:val="0"/>
                <w:szCs w:val="21"/>
                <w:highlight w:val="none"/>
              </w:rPr>
              <w:t>交货期</w:t>
            </w:r>
          </w:p>
        </w:tc>
        <w:tc>
          <w:tcPr>
            <w:tcW w:w="865" w:type="dxa"/>
            <w:tcBorders>
              <w:left w:val="single" w:color="auto" w:sz="4" w:space="0"/>
            </w:tcBorders>
            <w:vAlign w:val="center"/>
          </w:tcPr>
          <w:p>
            <w:pPr>
              <w:autoSpaceDE w:val="0"/>
              <w:autoSpaceDN w:val="0"/>
              <w:jc w:val="center"/>
              <w:rPr>
                <w:rFonts w:ascii="宋体" w:hAnsi="宋体" w:eastAsia="宋体" w:cs="宋体"/>
                <w:b/>
                <w:kern w:val="0"/>
                <w:szCs w:val="21"/>
                <w:highlight w:val="none"/>
              </w:rPr>
            </w:pPr>
            <w:r>
              <w:rPr>
                <w:rFonts w:hint="eastAsia" w:ascii="宋体" w:hAnsi="宋体" w:eastAsia="宋体" w:cs="宋体"/>
                <w:b/>
                <w:kern w:val="0"/>
                <w:szCs w:val="21"/>
                <w:highlight w:val="none"/>
              </w:rPr>
              <w:t>质保期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80" w:type="dxa"/>
            <w:tcBorders>
              <w:left w:val="single" w:color="auto" w:sz="4" w:space="0"/>
              <w:right w:val="single" w:color="auto" w:sz="4" w:space="0"/>
            </w:tcBorders>
            <w:vAlign w:val="center"/>
          </w:tcPr>
          <w:p>
            <w:pPr>
              <w:jc w:val="center"/>
              <w:rPr>
                <w:rFonts w:ascii="宋体" w:hAnsi="宋体" w:eastAsia="宋体" w:cs="宋体"/>
                <w:kern w:val="0"/>
                <w:szCs w:val="21"/>
                <w:highlight w:val="none"/>
              </w:rPr>
            </w:pPr>
            <w:r>
              <w:rPr>
                <w:rFonts w:hint="eastAsia" w:ascii="宋体" w:hAnsi="宋体" w:eastAsia="宋体" w:cs="宋体"/>
                <w:kern w:val="0"/>
                <w:szCs w:val="21"/>
                <w:highlight w:val="none"/>
              </w:rPr>
              <w:t>1</w:t>
            </w:r>
          </w:p>
        </w:tc>
        <w:tc>
          <w:tcPr>
            <w:tcW w:w="109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宋体" w:hAnsi="宋体" w:eastAsia="宋体" w:cs="宋体"/>
                <w:szCs w:val="21"/>
                <w:highlight w:val="none"/>
                <w:lang w:val="en-US"/>
              </w:rPr>
            </w:pPr>
            <w:r>
              <w:rPr>
                <w:rFonts w:hint="eastAsia" w:ascii="Times New Roman" w:hAnsi="Times New Roman" w:eastAsia="宋体" w:cs="Times New Roman"/>
                <w:kern w:val="2"/>
                <w:sz w:val="21"/>
                <w:szCs w:val="24"/>
                <w:highlight w:val="none"/>
                <w:lang w:val="en-US" w:eastAsia="zh-CN" w:bidi="ar-SA"/>
              </w:rPr>
              <w:t>保鲜库库体含门1</w:t>
            </w:r>
          </w:p>
        </w:tc>
        <w:tc>
          <w:tcPr>
            <w:tcW w:w="894" w:type="dxa"/>
            <w:vMerge w:val="restar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一食堂</w:t>
            </w:r>
          </w:p>
        </w:tc>
        <w:tc>
          <w:tcPr>
            <w:tcW w:w="894" w:type="dxa"/>
            <w:tcBorders>
              <w:left w:val="single" w:color="auto" w:sz="4" w:space="0"/>
              <w:right w:val="single" w:color="auto" w:sz="4" w:space="0"/>
            </w:tcBorders>
            <w:vAlign w:val="center"/>
          </w:tcPr>
          <w:p>
            <w:pPr>
              <w:jc w:val="center"/>
              <w:rPr>
                <w:rFonts w:ascii="宋体" w:hAnsi="宋体" w:eastAsia="宋体" w:cs="宋体"/>
                <w:b/>
                <w:kern w:val="0"/>
                <w:szCs w:val="21"/>
                <w:highlight w:val="none"/>
              </w:rPr>
            </w:pPr>
            <w:r>
              <w:rPr>
                <w:rFonts w:hint="eastAsia" w:ascii="宋体" w:hAnsi="宋体" w:eastAsia="宋体" w:cs="宋体"/>
                <w:bCs/>
                <w:kern w:val="0"/>
                <w:szCs w:val="21"/>
                <w:highlight w:val="none"/>
              </w:rPr>
              <w:t>否</w:t>
            </w:r>
          </w:p>
        </w:tc>
        <w:tc>
          <w:tcPr>
            <w:tcW w:w="866" w:type="dxa"/>
            <w:tcBorders>
              <w:left w:val="single" w:color="auto" w:sz="4" w:space="0"/>
              <w:right w:val="single" w:color="auto" w:sz="4" w:space="0"/>
            </w:tcBorders>
            <w:vAlign w:val="center"/>
          </w:tcPr>
          <w:p>
            <w:pPr>
              <w:autoSpaceDE w:val="0"/>
              <w:autoSpaceDN w:val="0"/>
              <w:jc w:val="center"/>
              <w:rPr>
                <w:rFonts w:ascii="宋体" w:hAnsi="宋体" w:eastAsia="宋体" w:cs="宋体"/>
                <w:bCs/>
                <w:kern w:val="0"/>
                <w:szCs w:val="21"/>
                <w:highlight w:val="none"/>
              </w:rPr>
            </w:pPr>
            <w:r>
              <w:rPr>
                <w:rFonts w:hint="eastAsia" w:ascii="宋体" w:hAnsi="宋体" w:eastAsia="宋体" w:cs="宋体"/>
                <w:bCs/>
                <w:kern w:val="0"/>
                <w:szCs w:val="21"/>
                <w:highlight w:val="none"/>
              </w:rPr>
              <w:t>否</w:t>
            </w:r>
          </w:p>
        </w:tc>
        <w:tc>
          <w:tcPr>
            <w:tcW w:w="867" w:type="dxa"/>
            <w:tcBorders>
              <w:left w:val="single" w:color="auto" w:sz="4" w:space="0"/>
              <w:right w:val="single" w:color="auto" w:sz="4" w:space="0"/>
            </w:tcBorders>
            <w:vAlign w:val="center"/>
          </w:tcPr>
          <w:p>
            <w:pPr>
              <w:jc w:val="center"/>
              <w:rPr>
                <w:rFonts w:hint="eastAsia" w:ascii="宋体" w:hAnsi="宋体" w:eastAsia="宋体" w:cs="宋体"/>
                <w:kern w:val="0"/>
                <w:szCs w:val="21"/>
                <w:highlight w:val="none"/>
                <w:lang w:val="en-US" w:eastAsia="zh-CN"/>
              </w:rPr>
            </w:pPr>
            <w:r>
              <w:rPr>
                <w:rFonts w:hint="eastAsia" w:ascii="宋体" w:hAnsi="Times New Roman" w:eastAsia="宋体" w:cs="Times New Roman"/>
                <w:kern w:val="0"/>
                <w:sz w:val="18"/>
                <w:szCs w:val="18"/>
                <w:highlight w:val="none"/>
              </w:rPr>
              <w:t>1</w:t>
            </w:r>
            <w:r>
              <w:rPr>
                <w:rFonts w:hint="eastAsia" w:ascii="宋体" w:hAnsi="Times New Roman" w:eastAsia="宋体" w:cs="Times New Roman"/>
                <w:kern w:val="0"/>
                <w:sz w:val="18"/>
                <w:szCs w:val="18"/>
                <w:highlight w:val="none"/>
                <w:lang w:val="en-US" w:eastAsia="zh-CN"/>
              </w:rPr>
              <w:t>个</w:t>
            </w:r>
          </w:p>
        </w:tc>
        <w:tc>
          <w:tcPr>
            <w:tcW w:w="1186" w:type="dxa"/>
            <w:tcBorders>
              <w:left w:val="single" w:color="auto" w:sz="4" w:space="0"/>
              <w:bottom w:val="single" w:color="auto" w:sz="4" w:space="0"/>
            </w:tcBorders>
            <w:vAlign w:val="center"/>
          </w:tcPr>
          <w:p>
            <w:pPr>
              <w:jc w:val="center"/>
              <w:rPr>
                <w:rFonts w:hint="default" w:ascii="宋体" w:hAnsi="Times New Roman" w:eastAsia="宋体" w:cs="Times New Roman"/>
                <w:kern w:val="0"/>
                <w:sz w:val="18"/>
                <w:szCs w:val="18"/>
                <w:highlight w:val="none"/>
                <w:lang w:val="en-US" w:eastAsia="zh-CN"/>
              </w:rPr>
            </w:pPr>
            <w:r>
              <w:rPr>
                <w:rFonts w:hint="eastAsia" w:ascii="宋体" w:hAnsi="Times New Roman" w:eastAsia="宋体" w:cs="Times New Roman"/>
                <w:kern w:val="0"/>
                <w:sz w:val="18"/>
                <w:szCs w:val="18"/>
                <w:highlight w:val="none"/>
                <w:lang w:val="en-US" w:eastAsia="zh-CN"/>
              </w:rPr>
              <w:t>15000</w:t>
            </w:r>
          </w:p>
        </w:tc>
        <w:tc>
          <w:tcPr>
            <w:tcW w:w="1639" w:type="dxa"/>
            <w:vMerge w:val="restart"/>
            <w:tcBorders>
              <w:left w:val="single" w:color="auto" w:sz="4" w:space="0"/>
            </w:tcBorders>
            <w:vAlign w:val="center"/>
          </w:tcPr>
          <w:p>
            <w:pPr>
              <w:autoSpaceDE w:val="0"/>
              <w:autoSpaceDN w:val="0"/>
              <w:jc w:val="center"/>
              <w:rPr>
                <w:rFonts w:ascii="宋体" w:hAnsi="宋体" w:eastAsia="宋体" w:cs="宋体"/>
                <w:kern w:val="0"/>
                <w:szCs w:val="21"/>
                <w:highlight w:val="none"/>
              </w:rPr>
            </w:pPr>
            <w:r>
              <w:rPr>
                <w:rFonts w:hint="eastAsia" w:ascii="宋体" w:hAnsi="宋体" w:eastAsia="宋体" w:cs="宋体"/>
                <w:kern w:val="0"/>
                <w:szCs w:val="21"/>
                <w:highlight w:val="none"/>
              </w:rPr>
              <w:t>合同签订生效之日起</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lang w:val="en-US" w:eastAsia="zh-CN"/>
              </w:rPr>
              <w:t xml:space="preserve">45  </w:t>
            </w:r>
            <w:r>
              <w:rPr>
                <w:rFonts w:hint="eastAsia" w:ascii="宋体" w:hAnsi="宋体" w:eastAsia="宋体" w:cs="宋体"/>
                <w:kern w:val="0"/>
                <w:szCs w:val="21"/>
                <w:highlight w:val="none"/>
              </w:rPr>
              <w:t>日历天（含试运行10天）内，将货物运到采购人指定地点，并完成安装、调试交付采购人验收，至合格</w:t>
            </w:r>
          </w:p>
        </w:tc>
        <w:tc>
          <w:tcPr>
            <w:tcW w:w="865" w:type="dxa"/>
            <w:vMerge w:val="restart"/>
            <w:tcBorders>
              <w:left w:val="single" w:color="auto" w:sz="4" w:space="0"/>
            </w:tcBorders>
            <w:vAlign w:val="center"/>
          </w:tcPr>
          <w:p>
            <w:pPr>
              <w:autoSpaceDE w:val="0"/>
              <w:autoSpaceDN w:val="0"/>
              <w:jc w:val="center"/>
              <w:rPr>
                <w:rFonts w:ascii="宋体" w:hAnsi="宋体" w:eastAsia="宋体" w:cs="宋体"/>
                <w:kern w:val="0"/>
                <w:szCs w:val="21"/>
                <w:highlight w:val="none"/>
              </w:rPr>
            </w:pPr>
            <w:r>
              <w:rPr>
                <w:rFonts w:hint="eastAsia" w:ascii="宋体" w:hAnsi="宋体" w:eastAsia="宋体" w:cs="宋体"/>
                <w:kern w:val="0"/>
                <w:szCs w:val="21"/>
                <w:highlight w:val="none"/>
              </w:rPr>
              <w:t>项目验收合格之日起</w:t>
            </w:r>
            <w:r>
              <w:rPr>
                <w:rFonts w:hint="eastAsia" w:ascii="宋体" w:hAnsi="宋体" w:eastAsia="宋体" w:cs="宋体"/>
                <w:kern w:val="0"/>
                <w:szCs w:val="21"/>
                <w:highlight w:val="none"/>
                <w:lang w:val="en-US" w:eastAsia="zh-CN"/>
              </w:rPr>
              <w:t>2</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lang w:val="en-US" w:eastAsia="zh-CN"/>
              </w:rPr>
              <w:t xml:space="preserve">  </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80" w:type="dxa"/>
            <w:tcBorders>
              <w:left w:val="single" w:color="auto" w:sz="4" w:space="0"/>
              <w:right w:val="single" w:color="auto" w:sz="4" w:space="0"/>
            </w:tcBorders>
            <w:vAlign w:val="center"/>
          </w:tcPr>
          <w:p>
            <w:pPr>
              <w:jc w:val="center"/>
              <w:rPr>
                <w:rFonts w:ascii="宋体" w:hAnsi="宋体" w:eastAsia="宋体" w:cs="宋体"/>
                <w:kern w:val="0"/>
                <w:szCs w:val="21"/>
                <w:highlight w:val="none"/>
              </w:rPr>
            </w:pPr>
            <w:r>
              <w:rPr>
                <w:rFonts w:hint="eastAsia" w:ascii="宋体" w:hAnsi="宋体" w:eastAsia="宋体" w:cs="宋体"/>
                <w:kern w:val="0"/>
                <w:szCs w:val="21"/>
                <w:highlight w:val="none"/>
              </w:rPr>
              <w:t>2</w:t>
            </w:r>
          </w:p>
        </w:tc>
        <w:tc>
          <w:tcPr>
            <w:tcW w:w="109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宋体" w:hAnsi="宋体" w:eastAsia="宋体" w:cs="宋体"/>
                <w:szCs w:val="21"/>
                <w:highlight w:val="none"/>
                <w:lang w:val="en-US"/>
              </w:rPr>
            </w:pPr>
            <w:r>
              <w:rPr>
                <w:rFonts w:hint="eastAsia" w:ascii="Times New Roman" w:hAnsi="Times New Roman" w:eastAsia="宋体" w:cs="Times New Roman"/>
                <w:kern w:val="2"/>
                <w:sz w:val="21"/>
                <w:szCs w:val="24"/>
                <w:highlight w:val="none"/>
                <w:lang w:val="en-US" w:eastAsia="zh-CN" w:bidi="ar-SA"/>
              </w:rPr>
              <w:t>冷藏库库体含门1</w:t>
            </w:r>
          </w:p>
        </w:tc>
        <w:tc>
          <w:tcPr>
            <w:tcW w:w="894"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highlight w:val="none"/>
                <w:lang w:val="en-US" w:eastAsia="zh-CN" w:bidi="ar-SA"/>
              </w:rPr>
            </w:pPr>
          </w:p>
        </w:tc>
        <w:tc>
          <w:tcPr>
            <w:tcW w:w="894" w:type="dxa"/>
            <w:tcBorders>
              <w:left w:val="single" w:color="auto" w:sz="4" w:space="0"/>
              <w:right w:val="single" w:color="auto" w:sz="4" w:space="0"/>
            </w:tcBorders>
            <w:vAlign w:val="center"/>
          </w:tcPr>
          <w:p>
            <w:pPr>
              <w:jc w:val="center"/>
              <w:rPr>
                <w:rFonts w:ascii="宋体" w:hAnsi="宋体" w:eastAsia="宋体" w:cs="宋体"/>
                <w:szCs w:val="21"/>
                <w:highlight w:val="none"/>
              </w:rPr>
            </w:pPr>
            <w:r>
              <w:rPr>
                <w:rFonts w:hint="eastAsia" w:ascii="宋体" w:hAnsi="宋体" w:eastAsia="宋体" w:cs="宋体"/>
                <w:bCs/>
                <w:kern w:val="0"/>
                <w:szCs w:val="21"/>
                <w:highlight w:val="none"/>
              </w:rPr>
              <w:t>否</w:t>
            </w:r>
          </w:p>
        </w:tc>
        <w:tc>
          <w:tcPr>
            <w:tcW w:w="866" w:type="dxa"/>
            <w:tcBorders>
              <w:left w:val="single" w:color="auto" w:sz="4" w:space="0"/>
              <w:right w:val="single" w:color="auto" w:sz="4" w:space="0"/>
            </w:tcBorders>
            <w:vAlign w:val="center"/>
          </w:tcPr>
          <w:p>
            <w:pPr>
              <w:autoSpaceDE w:val="0"/>
              <w:autoSpaceDN w:val="0"/>
              <w:jc w:val="center"/>
              <w:rPr>
                <w:rFonts w:ascii="宋体" w:hAnsi="宋体" w:eastAsia="宋体" w:cs="宋体"/>
                <w:bCs/>
                <w:kern w:val="0"/>
                <w:szCs w:val="21"/>
                <w:highlight w:val="none"/>
              </w:rPr>
            </w:pPr>
            <w:r>
              <w:rPr>
                <w:rFonts w:hint="eastAsia" w:ascii="宋体" w:hAnsi="宋体" w:eastAsia="宋体" w:cs="宋体"/>
                <w:bCs/>
                <w:kern w:val="0"/>
                <w:szCs w:val="21"/>
                <w:highlight w:val="none"/>
              </w:rPr>
              <w:t>否</w:t>
            </w:r>
          </w:p>
        </w:tc>
        <w:tc>
          <w:tcPr>
            <w:tcW w:w="867" w:type="dxa"/>
            <w:tcBorders>
              <w:left w:val="single" w:color="auto" w:sz="4" w:space="0"/>
              <w:right w:val="single" w:color="auto" w:sz="4" w:space="0"/>
            </w:tcBorders>
            <w:vAlign w:val="center"/>
          </w:tcPr>
          <w:p>
            <w:pPr>
              <w:jc w:val="center"/>
              <w:rPr>
                <w:rFonts w:ascii="宋体" w:hAnsi="Times New Roman" w:eastAsia="宋体" w:cs="Times New Roman"/>
                <w:kern w:val="0"/>
                <w:sz w:val="18"/>
                <w:szCs w:val="18"/>
                <w:highlight w:val="none"/>
              </w:rPr>
            </w:pPr>
            <w:r>
              <w:rPr>
                <w:rFonts w:hint="eastAsia" w:ascii="宋体" w:hAnsi="Times New Roman" w:eastAsia="宋体" w:cs="Times New Roman"/>
                <w:kern w:val="0"/>
                <w:sz w:val="18"/>
                <w:szCs w:val="18"/>
                <w:highlight w:val="none"/>
              </w:rPr>
              <w:t>1</w:t>
            </w:r>
            <w:r>
              <w:rPr>
                <w:rFonts w:hint="eastAsia" w:ascii="宋体" w:hAnsi="Times New Roman" w:eastAsia="宋体" w:cs="Times New Roman"/>
                <w:kern w:val="0"/>
                <w:sz w:val="18"/>
                <w:szCs w:val="18"/>
                <w:highlight w:val="none"/>
                <w:lang w:val="en-US" w:eastAsia="zh-CN"/>
              </w:rPr>
              <w:t>个</w:t>
            </w:r>
          </w:p>
        </w:tc>
        <w:tc>
          <w:tcPr>
            <w:tcW w:w="1186" w:type="dxa"/>
            <w:tcBorders>
              <w:top w:val="single" w:color="auto" w:sz="4" w:space="0"/>
              <w:left w:val="single" w:color="auto" w:sz="4" w:space="0"/>
              <w:bottom w:val="single" w:color="auto" w:sz="4" w:space="0"/>
            </w:tcBorders>
            <w:vAlign w:val="center"/>
          </w:tcPr>
          <w:p>
            <w:pPr>
              <w:jc w:val="center"/>
              <w:rPr>
                <w:rFonts w:ascii="宋体" w:hAnsi="Times New Roman" w:eastAsia="宋体" w:cs="Times New Roman"/>
                <w:kern w:val="0"/>
                <w:sz w:val="18"/>
                <w:szCs w:val="18"/>
                <w:highlight w:val="none"/>
              </w:rPr>
            </w:pPr>
            <w:r>
              <w:rPr>
                <w:rFonts w:hint="eastAsia" w:ascii="宋体" w:hAnsi="Times New Roman" w:eastAsia="宋体" w:cs="Times New Roman"/>
                <w:kern w:val="0"/>
                <w:sz w:val="18"/>
                <w:szCs w:val="18"/>
                <w:highlight w:val="none"/>
                <w:lang w:val="en-US" w:eastAsia="zh-CN"/>
              </w:rPr>
              <w:t>15000</w:t>
            </w:r>
          </w:p>
        </w:tc>
        <w:tc>
          <w:tcPr>
            <w:tcW w:w="1639" w:type="dxa"/>
            <w:vMerge w:val="continue"/>
            <w:tcBorders>
              <w:left w:val="single" w:color="auto" w:sz="4" w:space="0"/>
            </w:tcBorders>
            <w:vAlign w:val="center"/>
          </w:tcPr>
          <w:p>
            <w:pPr>
              <w:autoSpaceDE w:val="0"/>
              <w:autoSpaceDN w:val="0"/>
              <w:jc w:val="center"/>
              <w:rPr>
                <w:rFonts w:ascii="宋体" w:hAnsi="宋体" w:eastAsia="宋体" w:cs="宋体"/>
                <w:kern w:val="0"/>
                <w:szCs w:val="21"/>
                <w:highlight w:val="none"/>
              </w:rPr>
            </w:pPr>
          </w:p>
        </w:tc>
        <w:tc>
          <w:tcPr>
            <w:tcW w:w="865" w:type="dxa"/>
            <w:vMerge w:val="continue"/>
            <w:tcBorders>
              <w:left w:val="single" w:color="auto" w:sz="4" w:space="0"/>
            </w:tcBorders>
            <w:vAlign w:val="center"/>
          </w:tcPr>
          <w:p>
            <w:pPr>
              <w:autoSpaceDE w:val="0"/>
              <w:autoSpaceDN w:val="0"/>
              <w:jc w:val="center"/>
              <w:rPr>
                <w:rFonts w:ascii="宋体" w:hAnsi="宋体" w:eastAsia="宋体" w:cs="宋体"/>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80" w:type="dxa"/>
            <w:tcBorders>
              <w:left w:val="single" w:color="auto" w:sz="4" w:space="0"/>
              <w:right w:val="single" w:color="auto" w:sz="4" w:space="0"/>
            </w:tcBorders>
            <w:vAlign w:val="center"/>
          </w:tcPr>
          <w:p>
            <w:pPr>
              <w:jc w:val="center"/>
              <w:rPr>
                <w:rFonts w:ascii="宋体" w:hAnsi="宋体" w:eastAsia="宋体" w:cs="宋体"/>
                <w:kern w:val="0"/>
                <w:szCs w:val="21"/>
                <w:highlight w:val="none"/>
              </w:rPr>
            </w:pPr>
            <w:r>
              <w:rPr>
                <w:rFonts w:hint="eastAsia" w:ascii="宋体" w:hAnsi="宋体" w:eastAsia="宋体" w:cs="宋体"/>
                <w:kern w:val="0"/>
                <w:szCs w:val="21"/>
                <w:highlight w:val="none"/>
              </w:rPr>
              <w:t>3</w:t>
            </w:r>
          </w:p>
        </w:tc>
        <w:tc>
          <w:tcPr>
            <w:tcW w:w="109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宋体" w:hAnsi="宋体" w:eastAsia="宋体" w:cs="宋体"/>
                <w:szCs w:val="21"/>
                <w:highlight w:val="none"/>
                <w:lang w:val="en-US"/>
              </w:rPr>
            </w:pPr>
            <w:r>
              <w:rPr>
                <w:rFonts w:hint="eastAsia" w:ascii="Times New Roman" w:hAnsi="Times New Roman" w:eastAsia="宋体" w:cs="Times New Roman"/>
                <w:kern w:val="2"/>
                <w:sz w:val="21"/>
                <w:szCs w:val="24"/>
                <w:highlight w:val="none"/>
                <w:lang w:val="en-US" w:eastAsia="zh-CN" w:bidi="ar-SA"/>
              </w:rPr>
              <w:t>保鲜库库体含门2</w:t>
            </w:r>
          </w:p>
        </w:tc>
        <w:tc>
          <w:tcPr>
            <w:tcW w:w="894" w:type="dxa"/>
            <w:vMerge w:val="restar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三食堂</w:t>
            </w:r>
          </w:p>
        </w:tc>
        <w:tc>
          <w:tcPr>
            <w:tcW w:w="894" w:type="dxa"/>
            <w:tcBorders>
              <w:left w:val="single" w:color="auto" w:sz="4" w:space="0"/>
              <w:right w:val="single" w:color="auto" w:sz="4" w:space="0"/>
            </w:tcBorders>
            <w:vAlign w:val="center"/>
          </w:tcPr>
          <w:p>
            <w:pPr>
              <w:jc w:val="center"/>
              <w:rPr>
                <w:rFonts w:ascii="宋体" w:hAnsi="宋体" w:eastAsia="宋体" w:cs="宋体"/>
                <w:szCs w:val="21"/>
                <w:highlight w:val="none"/>
              </w:rPr>
            </w:pPr>
            <w:r>
              <w:rPr>
                <w:rFonts w:hint="eastAsia" w:ascii="宋体" w:hAnsi="宋体" w:eastAsia="宋体" w:cs="宋体"/>
                <w:bCs/>
                <w:kern w:val="0"/>
                <w:szCs w:val="21"/>
                <w:highlight w:val="none"/>
              </w:rPr>
              <w:t>否</w:t>
            </w:r>
          </w:p>
        </w:tc>
        <w:tc>
          <w:tcPr>
            <w:tcW w:w="866" w:type="dxa"/>
            <w:tcBorders>
              <w:left w:val="single" w:color="auto" w:sz="4" w:space="0"/>
              <w:right w:val="single" w:color="auto" w:sz="4" w:space="0"/>
            </w:tcBorders>
            <w:vAlign w:val="center"/>
          </w:tcPr>
          <w:p>
            <w:pPr>
              <w:autoSpaceDE w:val="0"/>
              <w:autoSpaceDN w:val="0"/>
              <w:jc w:val="center"/>
              <w:rPr>
                <w:rFonts w:ascii="宋体" w:hAnsi="宋体" w:eastAsia="宋体" w:cs="宋体"/>
                <w:bCs/>
                <w:kern w:val="0"/>
                <w:szCs w:val="21"/>
                <w:highlight w:val="none"/>
              </w:rPr>
            </w:pPr>
            <w:r>
              <w:rPr>
                <w:rFonts w:hint="eastAsia" w:ascii="宋体" w:hAnsi="宋体" w:eastAsia="宋体" w:cs="宋体"/>
                <w:bCs/>
                <w:kern w:val="0"/>
                <w:szCs w:val="21"/>
                <w:highlight w:val="none"/>
              </w:rPr>
              <w:t>否</w:t>
            </w:r>
          </w:p>
        </w:tc>
        <w:tc>
          <w:tcPr>
            <w:tcW w:w="867" w:type="dxa"/>
            <w:tcBorders>
              <w:left w:val="single" w:color="auto" w:sz="4" w:space="0"/>
              <w:right w:val="single" w:color="auto" w:sz="4" w:space="0"/>
            </w:tcBorders>
            <w:vAlign w:val="center"/>
          </w:tcPr>
          <w:p>
            <w:pPr>
              <w:jc w:val="center"/>
              <w:rPr>
                <w:rFonts w:ascii="宋体" w:hAnsi="Times New Roman" w:eastAsia="宋体" w:cs="Times New Roman"/>
                <w:kern w:val="0"/>
                <w:sz w:val="18"/>
                <w:szCs w:val="18"/>
                <w:highlight w:val="none"/>
              </w:rPr>
            </w:pPr>
            <w:r>
              <w:rPr>
                <w:rFonts w:hint="eastAsia" w:ascii="宋体" w:hAnsi="Times New Roman" w:eastAsia="宋体" w:cs="Times New Roman"/>
                <w:kern w:val="0"/>
                <w:sz w:val="18"/>
                <w:szCs w:val="18"/>
                <w:highlight w:val="none"/>
              </w:rPr>
              <w:t>1</w:t>
            </w:r>
            <w:r>
              <w:rPr>
                <w:rFonts w:hint="eastAsia" w:ascii="宋体" w:hAnsi="Times New Roman" w:eastAsia="宋体" w:cs="Times New Roman"/>
                <w:kern w:val="0"/>
                <w:sz w:val="18"/>
                <w:szCs w:val="18"/>
                <w:highlight w:val="none"/>
                <w:lang w:val="en-US" w:eastAsia="zh-CN"/>
              </w:rPr>
              <w:t>个</w:t>
            </w:r>
          </w:p>
        </w:tc>
        <w:tc>
          <w:tcPr>
            <w:tcW w:w="1186" w:type="dxa"/>
            <w:tcBorders>
              <w:top w:val="single" w:color="auto" w:sz="4" w:space="0"/>
              <w:left w:val="single" w:color="auto" w:sz="4" w:space="0"/>
            </w:tcBorders>
            <w:vAlign w:val="center"/>
          </w:tcPr>
          <w:p>
            <w:pPr>
              <w:jc w:val="center"/>
              <w:rPr>
                <w:rFonts w:ascii="宋体" w:hAnsi="Times New Roman" w:eastAsia="宋体" w:cs="Times New Roman"/>
                <w:kern w:val="0"/>
                <w:sz w:val="18"/>
                <w:szCs w:val="18"/>
                <w:highlight w:val="none"/>
              </w:rPr>
            </w:pPr>
            <w:r>
              <w:rPr>
                <w:rFonts w:hint="eastAsia" w:ascii="宋体" w:hAnsi="Times New Roman" w:eastAsia="宋体" w:cs="Times New Roman"/>
                <w:kern w:val="0"/>
                <w:sz w:val="18"/>
                <w:szCs w:val="18"/>
                <w:highlight w:val="none"/>
                <w:lang w:val="en-US" w:eastAsia="zh-CN"/>
              </w:rPr>
              <w:t>15000</w:t>
            </w:r>
          </w:p>
        </w:tc>
        <w:tc>
          <w:tcPr>
            <w:tcW w:w="1639" w:type="dxa"/>
            <w:vMerge w:val="continue"/>
            <w:tcBorders>
              <w:left w:val="single" w:color="auto" w:sz="4" w:space="0"/>
            </w:tcBorders>
            <w:vAlign w:val="center"/>
          </w:tcPr>
          <w:p>
            <w:pPr>
              <w:autoSpaceDE w:val="0"/>
              <w:autoSpaceDN w:val="0"/>
              <w:jc w:val="center"/>
              <w:rPr>
                <w:rFonts w:ascii="宋体" w:hAnsi="宋体" w:eastAsia="宋体" w:cs="宋体"/>
                <w:kern w:val="0"/>
                <w:szCs w:val="21"/>
                <w:highlight w:val="none"/>
              </w:rPr>
            </w:pPr>
          </w:p>
        </w:tc>
        <w:tc>
          <w:tcPr>
            <w:tcW w:w="865" w:type="dxa"/>
            <w:vMerge w:val="continue"/>
            <w:tcBorders>
              <w:left w:val="single" w:color="auto" w:sz="4" w:space="0"/>
            </w:tcBorders>
            <w:vAlign w:val="center"/>
          </w:tcPr>
          <w:p>
            <w:pPr>
              <w:autoSpaceDE w:val="0"/>
              <w:autoSpaceDN w:val="0"/>
              <w:jc w:val="center"/>
              <w:rPr>
                <w:rFonts w:ascii="宋体" w:hAnsi="宋体" w:eastAsia="宋体" w:cs="宋体"/>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80" w:type="dxa"/>
            <w:tcBorders>
              <w:left w:val="single" w:color="auto" w:sz="4" w:space="0"/>
              <w:right w:val="single" w:color="auto" w:sz="4" w:space="0"/>
            </w:tcBorders>
            <w:vAlign w:val="center"/>
          </w:tcPr>
          <w:p>
            <w:pPr>
              <w:jc w:val="center"/>
              <w:rPr>
                <w:rFonts w:ascii="宋体" w:hAnsi="宋体" w:eastAsia="宋体" w:cs="宋体"/>
                <w:kern w:val="0"/>
                <w:szCs w:val="21"/>
                <w:highlight w:val="none"/>
              </w:rPr>
            </w:pPr>
            <w:r>
              <w:rPr>
                <w:rFonts w:hint="eastAsia" w:ascii="宋体" w:hAnsi="宋体" w:eastAsia="宋体" w:cs="宋体"/>
                <w:kern w:val="0"/>
                <w:szCs w:val="21"/>
                <w:highlight w:val="none"/>
              </w:rPr>
              <w:t>4</w:t>
            </w:r>
          </w:p>
        </w:tc>
        <w:tc>
          <w:tcPr>
            <w:tcW w:w="109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宋体" w:hAnsi="宋体" w:eastAsia="宋体" w:cs="宋体"/>
                <w:szCs w:val="21"/>
                <w:highlight w:val="none"/>
                <w:lang w:val="en-US"/>
              </w:rPr>
            </w:pPr>
            <w:r>
              <w:rPr>
                <w:rFonts w:hint="eastAsia" w:ascii="Times New Roman" w:hAnsi="Times New Roman" w:eastAsia="宋体" w:cs="Times New Roman"/>
                <w:kern w:val="2"/>
                <w:sz w:val="21"/>
                <w:szCs w:val="24"/>
                <w:highlight w:val="none"/>
                <w:lang w:val="en-US" w:eastAsia="zh-CN" w:bidi="ar-SA"/>
              </w:rPr>
              <w:t>冷藏库库体含门2</w:t>
            </w:r>
          </w:p>
        </w:tc>
        <w:tc>
          <w:tcPr>
            <w:tcW w:w="894"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highlight w:val="none"/>
                <w:lang w:val="en-US" w:eastAsia="zh-CN" w:bidi="ar-SA"/>
              </w:rPr>
            </w:pPr>
          </w:p>
        </w:tc>
        <w:tc>
          <w:tcPr>
            <w:tcW w:w="894" w:type="dxa"/>
            <w:tcBorders>
              <w:left w:val="single" w:color="auto" w:sz="4" w:space="0"/>
              <w:right w:val="single" w:color="auto" w:sz="4" w:space="0"/>
            </w:tcBorders>
            <w:vAlign w:val="center"/>
          </w:tcPr>
          <w:p>
            <w:pPr>
              <w:jc w:val="center"/>
              <w:rPr>
                <w:rFonts w:ascii="宋体" w:hAnsi="宋体" w:eastAsia="宋体" w:cs="宋体"/>
                <w:szCs w:val="21"/>
                <w:highlight w:val="none"/>
              </w:rPr>
            </w:pPr>
            <w:r>
              <w:rPr>
                <w:rFonts w:hint="eastAsia" w:ascii="宋体" w:hAnsi="宋体" w:eastAsia="宋体" w:cs="宋体"/>
                <w:bCs/>
                <w:kern w:val="0"/>
                <w:szCs w:val="21"/>
                <w:highlight w:val="none"/>
              </w:rPr>
              <w:t>否</w:t>
            </w:r>
          </w:p>
        </w:tc>
        <w:tc>
          <w:tcPr>
            <w:tcW w:w="866" w:type="dxa"/>
            <w:tcBorders>
              <w:left w:val="single" w:color="auto" w:sz="4" w:space="0"/>
              <w:right w:val="single" w:color="auto" w:sz="4" w:space="0"/>
            </w:tcBorders>
            <w:vAlign w:val="center"/>
          </w:tcPr>
          <w:p>
            <w:pPr>
              <w:autoSpaceDE w:val="0"/>
              <w:autoSpaceDN w:val="0"/>
              <w:jc w:val="center"/>
              <w:rPr>
                <w:rFonts w:ascii="宋体" w:hAnsi="宋体" w:eastAsia="宋体" w:cs="宋体"/>
                <w:bCs/>
                <w:kern w:val="0"/>
                <w:szCs w:val="21"/>
                <w:highlight w:val="none"/>
              </w:rPr>
            </w:pPr>
            <w:r>
              <w:rPr>
                <w:rFonts w:hint="eastAsia" w:ascii="宋体" w:hAnsi="宋体" w:eastAsia="宋体" w:cs="宋体"/>
                <w:bCs/>
                <w:kern w:val="0"/>
                <w:szCs w:val="21"/>
                <w:highlight w:val="none"/>
              </w:rPr>
              <w:t>否</w:t>
            </w:r>
          </w:p>
        </w:tc>
        <w:tc>
          <w:tcPr>
            <w:tcW w:w="867" w:type="dxa"/>
            <w:tcBorders>
              <w:left w:val="single" w:color="auto" w:sz="4" w:space="0"/>
              <w:right w:val="single" w:color="auto" w:sz="4" w:space="0"/>
            </w:tcBorders>
            <w:vAlign w:val="center"/>
          </w:tcPr>
          <w:p>
            <w:pPr>
              <w:jc w:val="center"/>
              <w:rPr>
                <w:rFonts w:ascii="宋体" w:hAnsi="Times New Roman" w:eastAsia="宋体" w:cs="Times New Roman"/>
                <w:kern w:val="0"/>
                <w:sz w:val="18"/>
                <w:szCs w:val="18"/>
                <w:highlight w:val="none"/>
              </w:rPr>
            </w:pPr>
            <w:r>
              <w:rPr>
                <w:rFonts w:hint="eastAsia" w:ascii="宋体" w:hAnsi="Times New Roman" w:eastAsia="宋体" w:cs="Times New Roman"/>
                <w:kern w:val="0"/>
                <w:sz w:val="18"/>
                <w:szCs w:val="18"/>
                <w:highlight w:val="none"/>
              </w:rPr>
              <w:t>1</w:t>
            </w:r>
            <w:r>
              <w:rPr>
                <w:rFonts w:hint="eastAsia" w:ascii="宋体" w:hAnsi="Times New Roman" w:eastAsia="宋体" w:cs="Times New Roman"/>
                <w:kern w:val="0"/>
                <w:sz w:val="18"/>
                <w:szCs w:val="18"/>
                <w:highlight w:val="none"/>
                <w:lang w:val="en-US" w:eastAsia="zh-CN"/>
              </w:rPr>
              <w:t>个</w:t>
            </w:r>
          </w:p>
        </w:tc>
        <w:tc>
          <w:tcPr>
            <w:tcW w:w="1186" w:type="dxa"/>
            <w:tcBorders>
              <w:left w:val="single" w:color="auto" w:sz="4" w:space="0"/>
              <w:bottom w:val="single" w:color="auto" w:sz="4" w:space="0"/>
            </w:tcBorders>
            <w:vAlign w:val="center"/>
          </w:tcPr>
          <w:p>
            <w:pPr>
              <w:jc w:val="center"/>
              <w:rPr>
                <w:rFonts w:ascii="宋体" w:hAnsi="Times New Roman" w:eastAsia="宋体" w:cs="Times New Roman"/>
                <w:kern w:val="0"/>
                <w:sz w:val="18"/>
                <w:szCs w:val="18"/>
                <w:highlight w:val="none"/>
              </w:rPr>
            </w:pPr>
            <w:r>
              <w:rPr>
                <w:rFonts w:hint="eastAsia" w:ascii="宋体" w:hAnsi="Times New Roman" w:eastAsia="宋体" w:cs="Times New Roman"/>
                <w:kern w:val="0"/>
                <w:sz w:val="18"/>
                <w:szCs w:val="18"/>
                <w:highlight w:val="none"/>
                <w:lang w:val="en-US" w:eastAsia="zh-CN"/>
              </w:rPr>
              <w:t>15000</w:t>
            </w:r>
          </w:p>
        </w:tc>
        <w:tc>
          <w:tcPr>
            <w:tcW w:w="1639" w:type="dxa"/>
            <w:vMerge w:val="continue"/>
            <w:tcBorders>
              <w:left w:val="single" w:color="auto" w:sz="4" w:space="0"/>
            </w:tcBorders>
            <w:vAlign w:val="center"/>
          </w:tcPr>
          <w:p>
            <w:pPr>
              <w:autoSpaceDE w:val="0"/>
              <w:autoSpaceDN w:val="0"/>
              <w:jc w:val="center"/>
              <w:rPr>
                <w:rFonts w:ascii="宋体" w:hAnsi="宋体" w:eastAsia="宋体" w:cs="宋体"/>
                <w:kern w:val="0"/>
                <w:szCs w:val="21"/>
                <w:highlight w:val="none"/>
              </w:rPr>
            </w:pPr>
          </w:p>
        </w:tc>
        <w:tc>
          <w:tcPr>
            <w:tcW w:w="865" w:type="dxa"/>
            <w:vMerge w:val="continue"/>
            <w:tcBorders>
              <w:left w:val="single" w:color="auto" w:sz="4" w:space="0"/>
            </w:tcBorders>
            <w:vAlign w:val="center"/>
          </w:tcPr>
          <w:p>
            <w:pPr>
              <w:autoSpaceDE w:val="0"/>
              <w:autoSpaceDN w:val="0"/>
              <w:jc w:val="center"/>
              <w:rPr>
                <w:rFonts w:ascii="宋体" w:hAnsi="宋体" w:eastAsia="宋体" w:cs="宋体"/>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80" w:type="dxa"/>
            <w:tcBorders>
              <w:left w:val="single" w:color="auto" w:sz="4" w:space="0"/>
              <w:right w:val="single" w:color="auto" w:sz="4" w:space="0"/>
            </w:tcBorders>
            <w:vAlign w:val="center"/>
          </w:tcPr>
          <w:p>
            <w:pPr>
              <w:jc w:val="center"/>
              <w:rPr>
                <w:rFonts w:ascii="宋体" w:hAnsi="宋体" w:eastAsia="宋体" w:cs="宋体"/>
                <w:kern w:val="0"/>
                <w:szCs w:val="21"/>
                <w:highlight w:val="none"/>
              </w:rPr>
            </w:pPr>
            <w:r>
              <w:rPr>
                <w:rFonts w:hint="eastAsia" w:ascii="宋体" w:hAnsi="宋体" w:eastAsia="宋体" w:cs="宋体"/>
                <w:kern w:val="0"/>
                <w:szCs w:val="21"/>
                <w:highlight w:val="none"/>
              </w:rPr>
              <w:t>5</w:t>
            </w:r>
          </w:p>
        </w:tc>
        <w:tc>
          <w:tcPr>
            <w:tcW w:w="109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宋体" w:hAnsi="宋体" w:eastAsia="宋体" w:cs="宋体"/>
                <w:szCs w:val="21"/>
                <w:highlight w:val="none"/>
                <w:lang w:val="en-US"/>
              </w:rPr>
            </w:pPr>
            <w:r>
              <w:rPr>
                <w:rFonts w:hint="eastAsia" w:ascii="Times New Roman" w:hAnsi="Times New Roman" w:eastAsia="宋体" w:cs="Times New Roman"/>
                <w:kern w:val="2"/>
                <w:sz w:val="21"/>
                <w:szCs w:val="24"/>
                <w:highlight w:val="none"/>
                <w:lang w:val="en-US" w:eastAsia="zh-CN" w:bidi="ar-SA"/>
              </w:rPr>
              <w:t>保鲜库库体含门3</w:t>
            </w:r>
          </w:p>
        </w:tc>
        <w:tc>
          <w:tcPr>
            <w:tcW w:w="894" w:type="dxa"/>
            <w:vMerge w:val="restar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五食堂</w:t>
            </w:r>
          </w:p>
        </w:tc>
        <w:tc>
          <w:tcPr>
            <w:tcW w:w="894" w:type="dxa"/>
            <w:tcBorders>
              <w:left w:val="single" w:color="auto" w:sz="4" w:space="0"/>
              <w:right w:val="single" w:color="auto" w:sz="4" w:space="0"/>
            </w:tcBorders>
            <w:vAlign w:val="center"/>
          </w:tcPr>
          <w:p>
            <w:pPr>
              <w:jc w:val="center"/>
              <w:rPr>
                <w:rFonts w:ascii="宋体" w:hAnsi="宋体" w:eastAsia="宋体" w:cs="宋体"/>
                <w:szCs w:val="21"/>
                <w:highlight w:val="none"/>
              </w:rPr>
            </w:pPr>
            <w:r>
              <w:rPr>
                <w:rFonts w:hint="eastAsia" w:ascii="宋体" w:hAnsi="宋体" w:eastAsia="宋体" w:cs="宋体"/>
                <w:bCs/>
                <w:kern w:val="0"/>
                <w:szCs w:val="21"/>
                <w:highlight w:val="none"/>
              </w:rPr>
              <w:t>否</w:t>
            </w:r>
          </w:p>
        </w:tc>
        <w:tc>
          <w:tcPr>
            <w:tcW w:w="866" w:type="dxa"/>
            <w:tcBorders>
              <w:left w:val="single" w:color="auto" w:sz="4" w:space="0"/>
              <w:right w:val="single" w:color="auto" w:sz="4" w:space="0"/>
            </w:tcBorders>
            <w:vAlign w:val="center"/>
          </w:tcPr>
          <w:p>
            <w:pPr>
              <w:autoSpaceDE w:val="0"/>
              <w:autoSpaceDN w:val="0"/>
              <w:jc w:val="center"/>
              <w:rPr>
                <w:rFonts w:ascii="宋体" w:hAnsi="宋体" w:eastAsia="宋体" w:cs="宋体"/>
                <w:bCs/>
                <w:kern w:val="0"/>
                <w:szCs w:val="21"/>
                <w:highlight w:val="none"/>
              </w:rPr>
            </w:pPr>
            <w:r>
              <w:rPr>
                <w:rFonts w:hint="eastAsia" w:ascii="宋体" w:hAnsi="宋体" w:eastAsia="宋体" w:cs="宋体"/>
                <w:bCs/>
                <w:kern w:val="0"/>
                <w:szCs w:val="21"/>
                <w:highlight w:val="none"/>
              </w:rPr>
              <w:t>否</w:t>
            </w:r>
          </w:p>
        </w:tc>
        <w:tc>
          <w:tcPr>
            <w:tcW w:w="867" w:type="dxa"/>
            <w:tcBorders>
              <w:left w:val="single" w:color="auto" w:sz="4" w:space="0"/>
              <w:right w:val="single" w:color="auto" w:sz="4" w:space="0"/>
            </w:tcBorders>
            <w:vAlign w:val="center"/>
          </w:tcPr>
          <w:p>
            <w:pPr>
              <w:jc w:val="center"/>
              <w:rPr>
                <w:rFonts w:ascii="宋体" w:hAnsi="Times New Roman" w:eastAsia="宋体" w:cs="Times New Roman"/>
                <w:kern w:val="0"/>
                <w:sz w:val="18"/>
                <w:szCs w:val="18"/>
                <w:highlight w:val="none"/>
              </w:rPr>
            </w:pPr>
            <w:r>
              <w:rPr>
                <w:rFonts w:hint="eastAsia" w:ascii="宋体" w:hAnsi="Times New Roman" w:eastAsia="宋体" w:cs="Times New Roman"/>
                <w:kern w:val="0"/>
                <w:sz w:val="18"/>
                <w:szCs w:val="18"/>
                <w:highlight w:val="none"/>
              </w:rPr>
              <w:t>1</w:t>
            </w:r>
            <w:r>
              <w:rPr>
                <w:rFonts w:hint="eastAsia" w:ascii="宋体" w:hAnsi="Times New Roman" w:eastAsia="宋体" w:cs="Times New Roman"/>
                <w:kern w:val="0"/>
                <w:sz w:val="18"/>
                <w:szCs w:val="18"/>
                <w:highlight w:val="none"/>
                <w:lang w:val="en-US" w:eastAsia="zh-CN"/>
              </w:rPr>
              <w:t>个</w:t>
            </w:r>
          </w:p>
        </w:tc>
        <w:tc>
          <w:tcPr>
            <w:tcW w:w="1186" w:type="dxa"/>
            <w:tcBorders>
              <w:top w:val="single" w:color="auto" w:sz="4" w:space="0"/>
              <w:left w:val="single" w:color="auto" w:sz="4" w:space="0"/>
              <w:bottom w:val="single" w:color="auto" w:sz="4" w:space="0"/>
            </w:tcBorders>
            <w:vAlign w:val="center"/>
          </w:tcPr>
          <w:p>
            <w:pPr>
              <w:jc w:val="center"/>
              <w:rPr>
                <w:rFonts w:ascii="宋体" w:hAnsi="Times New Roman" w:eastAsia="宋体" w:cs="Times New Roman"/>
                <w:kern w:val="0"/>
                <w:sz w:val="18"/>
                <w:szCs w:val="18"/>
                <w:highlight w:val="none"/>
              </w:rPr>
            </w:pPr>
            <w:r>
              <w:rPr>
                <w:rFonts w:hint="eastAsia" w:ascii="宋体" w:hAnsi="Times New Roman" w:eastAsia="宋体" w:cs="Times New Roman"/>
                <w:kern w:val="0"/>
                <w:sz w:val="18"/>
                <w:szCs w:val="18"/>
                <w:highlight w:val="none"/>
                <w:lang w:val="en-US" w:eastAsia="zh-CN"/>
              </w:rPr>
              <w:t>15000</w:t>
            </w:r>
          </w:p>
        </w:tc>
        <w:tc>
          <w:tcPr>
            <w:tcW w:w="1639" w:type="dxa"/>
            <w:vMerge w:val="continue"/>
            <w:tcBorders>
              <w:left w:val="single" w:color="auto" w:sz="4" w:space="0"/>
            </w:tcBorders>
            <w:vAlign w:val="center"/>
          </w:tcPr>
          <w:p>
            <w:pPr>
              <w:autoSpaceDE w:val="0"/>
              <w:autoSpaceDN w:val="0"/>
              <w:jc w:val="center"/>
              <w:rPr>
                <w:rFonts w:ascii="宋体" w:hAnsi="宋体" w:eastAsia="宋体" w:cs="宋体"/>
                <w:kern w:val="0"/>
                <w:szCs w:val="21"/>
                <w:highlight w:val="none"/>
              </w:rPr>
            </w:pPr>
          </w:p>
        </w:tc>
        <w:tc>
          <w:tcPr>
            <w:tcW w:w="865" w:type="dxa"/>
            <w:vMerge w:val="continue"/>
            <w:tcBorders>
              <w:left w:val="single" w:color="auto" w:sz="4" w:space="0"/>
            </w:tcBorders>
            <w:vAlign w:val="center"/>
          </w:tcPr>
          <w:p>
            <w:pPr>
              <w:autoSpaceDE w:val="0"/>
              <w:autoSpaceDN w:val="0"/>
              <w:jc w:val="center"/>
              <w:rPr>
                <w:rFonts w:ascii="宋体" w:hAnsi="宋体" w:eastAsia="宋体" w:cs="宋体"/>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80" w:type="dxa"/>
            <w:tcBorders>
              <w:left w:val="single" w:color="auto" w:sz="4" w:space="0"/>
              <w:right w:val="single" w:color="auto" w:sz="4" w:space="0"/>
            </w:tcBorders>
            <w:vAlign w:val="center"/>
          </w:tcPr>
          <w:p>
            <w:pPr>
              <w:jc w:val="center"/>
              <w:rPr>
                <w:rFonts w:ascii="宋体" w:hAnsi="宋体" w:eastAsia="宋体" w:cs="宋体"/>
                <w:kern w:val="0"/>
                <w:szCs w:val="21"/>
                <w:highlight w:val="none"/>
              </w:rPr>
            </w:pPr>
            <w:r>
              <w:rPr>
                <w:rFonts w:hint="eastAsia" w:ascii="宋体" w:hAnsi="宋体" w:eastAsia="宋体" w:cs="宋体"/>
                <w:kern w:val="0"/>
                <w:szCs w:val="21"/>
                <w:highlight w:val="none"/>
              </w:rPr>
              <w:t>6</w:t>
            </w:r>
          </w:p>
        </w:tc>
        <w:tc>
          <w:tcPr>
            <w:tcW w:w="109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宋体" w:hAnsi="宋体" w:eastAsia="宋体" w:cs="宋体"/>
                <w:szCs w:val="21"/>
                <w:highlight w:val="none"/>
                <w:lang w:val="en-US"/>
              </w:rPr>
            </w:pPr>
            <w:r>
              <w:rPr>
                <w:rFonts w:hint="eastAsia" w:ascii="Times New Roman" w:hAnsi="Times New Roman" w:eastAsia="宋体" w:cs="Times New Roman"/>
                <w:kern w:val="2"/>
                <w:sz w:val="21"/>
                <w:szCs w:val="24"/>
                <w:highlight w:val="none"/>
                <w:lang w:val="en-US" w:eastAsia="zh-CN" w:bidi="ar-SA"/>
              </w:rPr>
              <w:t>冷藏库库体含门3</w:t>
            </w:r>
          </w:p>
        </w:tc>
        <w:tc>
          <w:tcPr>
            <w:tcW w:w="894"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highlight w:val="none"/>
                <w:lang w:val="en-US" w:eastAsia="zh-CN" w:bidi="ar-SA"/>
              </w:rPr>
            </w:pPr>
          </w:p>
        </w:tc>
        <w:tc>
          <w:tcPr>
            <w:tcW w:w="894" w:type="dxa"/>
            <w:tcBorders>
              <w:left w:val="single" w:color="auto" w:sz="4" w:space="0"/>
              <w:right w:val="single" w:color="auto" w:sz="4" w:space="0"/>
            </w:tcBorders>
            <w:vAlign w:val="center"/>
          </w:tcPr>
          <w:p>
            <w:pPr>
              <w:jc w:val="center"/>
              <w:rPr>
                <w:rFonts w:ascii="宋体" w:hAnsi="宋体" w:eastAsia="宋体" w:cs="宋体"/>
                <w:szCs w:val="21"/>
                <w:highlight w:val="none"/>
              </w:rPr>
            </w:pPr>
            <w:r>
              <w:rPr>
                <w:rFonts w:hint="eastAsia" w:ascii="宋体" w:hAnsi="宋体" w:eastAsia="宋体" w:cs="宋体"/>
                <w:bCs/>
                <w:kern w:val="0"/>
                <w:szCs w:val="21"/>
                <w:highlight w:val="none"/>
              </w:rPr>
              <w:t>否</w:t>
            </w:r>
          </w:p>
        </w:tc>
        <w:tc>
          <w:tcPr>
            <w:tcW w:w="866" w:type="dxa"/>
            <w:tcBorders>
              <w:left w:val="single" w:color="auto" w:sz="4" w:space="0"/>
              <w:right w:val="single" w:color="auto" w:sz="4" w:space="0"/>
            </w:tcBorders>
            <w:vAlign w:val="center"/>
          </w:tcPr>
          <w:p>
            <w:pPr>
              <w:autoSpaceDE w:val="0"/>
              <w:autoSpaceDN w:val="0"/>
              <w:jc w:val="center"/>
              <w:rPr>
                <w:rFonts w:ascii="宋体" w:hAnsi="宋体" w:eastAsia="宋体" w:cs="宋体"/>
                <w:bCs/>
                <w:kern w:val="0"/>
                <w:szCs w:val="21"/>
                <w:highlight w:val="none"/>
              </w:rPr>
            </w:pPr>
            <w:r>
              <w:rPr>
                <w:rFonts w:hint="eastAsia" w:ascii="宋体" w:hAnsi="宋体" w:eastAsia="宋体" w:cs="宋体"/>
                <w:bCs/>
                <w:kern w:val="0"/>
                <w:szCs w:val="21"/>
                <w:highlight w:val="none"/>
              </w:rPr>
              <w:t>否</w:t>
            </w:r>
          </w:p>
        </w:tc>
        <w:tc>
          <w:tcPr>
            <w:tcW w:w="867" w:type="dxa"/>
            <w:tcBorders>
              <w:left w:val="single" w:color="auto" w:sz="4" w:space="0"/>
              <w:right w:val="single" w:color="auto" w:sz="4" w:space="0"/>
            </w:tcBorders>
            <w:vAlign w:val="center"/>
          </w:tcPr>
          <w:p>
            <w:pPr>
              <w:jc w:val="center"/>
              <w:rPr>
                <w:rFonts w:ascii="宋体" w:hAnsi="Times New Roman" w:eastAsia="宋体" w:cs="Times New Roman"/>
                <w:kern w:val="0"/>
                <w:sz w:val="18"/>
                <w:szCs w:val="18"/>
                <w:highlight w:val="none"/>
              </w:rPr>
            </w:pPr>
            <w:r>
              <w:rPr>
                <w:rFonts w:hint="eastAsia" w:ascii="宋体" w:hAnsi="Times New Roman" w:eastAsia="宋体" w:cs="Times New Roman"/>
                <w:kern w:val="0"/>
                <w:sz w:val="18"/>
                <w:szCs w:val="18"/>
                <w:highlight w:val="none"/>
              </w:rPr>
              <w:t>1</w:t>
            </w:r>
            <w:r>
              <w:rPr>
                <w:rFonts w:hint="eastAsia" w:ascii="宋体" w:hAnsi="Times New Roman" w:eastAsia="宋体" w:cs="Times New Roman"/>
                <w:kern w:val="0"/>
                <w:sz w:val="18"/>
                <w:szCs w:val="18"/>
                <w:highlight w:val="none"/>
                <w:lang w:val="en-US" w:eastAsia="zh-CN"/>
              </w:rPr>
              <w:t>个</w:t>
            </w:r>
          </w:p>
        </w:tc>
        <w:tc>
          <w:tcPr>
            <w:tcW w:w="1186" w:type="dxa"/>
            <w:tcBorders>
              <w:top w:val="single" w:color="auto" w:sz="4" w:space="0"/>
              <w:left w:val="single" w:color="auto" w:sz="4" w:space="0"/>
              <w:bottom w:val="single" w:color="auto" w:sz="4" w:space="0"/>
            </w:tcBorders>
            <w:vAlign w:val="center"/>
          </w:tcPr>
          <w:p>
            <w:pPr>
              <w:jc w:val="center"/>
              <w:rPr>
                <w:rFonts w:ascii="宋体" w:hAnsi="Times New Roman" w:eastAsia="宋体" w:cs="Times New Roman"/>
                <w:kern w:val="0"/>
                <w:sz w:val="18"/>
                <w:szCs w:val="18"/>
                <w:highlight w:val="none"/>
              </w:rPr>
            </w:pPr>
            <w:r>
              <w:rPr>
                <w:rFonts w:hint="eastAsia" w:ascii="宋体" w:hAnsi="Times New Roman" w:eastAsia="宋体" w:cs="Times New Roman"/>
                <w:kern w:val="0"/>
                <w:sz w:val="18"/>
                <w:szCs w:val="18"/>
                <w:highlight w:val="none"/>
                <w:lang w:val="en-US" w:eastAsia="zh-CN"/>
              </w:rPr>
              <w:t>15000</w:t>
            </w:r>
          </w:p>
        </w:tc>
        <w:tc>
          <w:tcPr>
            <w:tcW w:w="1639" w:type="dxa"/>
            <w:vMerge w:val="continue"/>
            <w:tcBorders>
              <w:left w:val="single" w:color="auto" w:sz="4" w:space="0"/>
            </w:tcBorders>
            <w:vAlign w:val="center"/>
          </w:tcPr>
          <w:p>
            <w:pPr>
              <w:autoSpaceDE w:val="0"/>
              <w:autoSpaceDN w:val="0"/>
              <w:jc w:val="center"/>
              <w:rPr>
                <w:rFonts w:ascii="宋体" w:hAnsi="宋体" w:eastAsia="宋体" w:cs="宋体"/>
                <w:kern w:val="0"/>
                <w:szCs w:val="21"/>
                <w:highlight w:val="none"/>
              </w:rPr>
            </w:pPr>
          </w:p>
        </w:tc>
        <w:tc>
          <w:tcPr>
            <w:tcW w:w="865" w:type="dxa"/>
            <w:vMerge w:val="continue"/>
            <w:tcBorders>
              <w:left w:val="single" w:color="auto" w:sz="4" w:space="0"/>
            </w:tcBorders>
            <w:vAlign w:val="center"/>
          </w:tcPr>
          <w:p>
            <w:pPr>
              <w:autoSpaceDE w:val="0"/>
              <w:autoSpaceDN w:val="0"/>
              <w:jc w:val="center"/>
              <w:rPr>
                <w:rFonts w:ascii="宋体" w:hAnsi="宋体" w:eastAsia="宋体" w:cs="宋体"/>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80" w:type="dxa"/>
            <w:tcBorders>
              <w:left w:val="single" w:color="auto" w:sz="4" w:space="0"/>
              <w:right w:val="single" w:color="auto" w:sz="4" w:space="0"/>
            </w:tcBorders>
            <w:vAlign w:val="center"/>
          </w:tcPr>
          <w:p>
            <w:pPr>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7</w:t>
            </w:r>
          </w:p>
        </w:tc>
        <w:tc>
          <w:tcPr>
            <w:tcW w:w="109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宋体" w:hAnsi="宋体" w:eastAsia="宋体" w:cs="宋体"/>
                <w:szCs w:val="21"/>
                <w:highlight w:val="none"/>
                <w:lang w:val="en-US"/>
              </w:rPr>
            </w:pPr>
            <w:r>
              <w:rPr>
                <w:rFonts w:hint="eastAsia" w:ascii="Times New Roman" w:hAnsi="Times New Roman" w:eastAsia="宋体" w:cs="Times New Roman"/>
                <w:b/>
                <w:bCs/>
                <w:kern w:val="2"/>
                <w:sz w:val="21"/>
                <w:szCs w:val="24"/>
                <w:highlight w:val="none"/>
                <w:lang w:val="en-US" w:eastAsia="zh-CN" w:bidi="ar-SA"/>
              </w:rPr>
              <w:t>保鲜库4</w:t>
            </w:r>
          </w:p>
        </w:tc>
        <w:tc>
          <w:tcPr>
            <w:tcW w:w="894" w:type="dxa"/>
            <w:vMerge w:val="restar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四食堂</w:t>
            </w:r>
          </w:p>
        </w:tc>
        <w:tc>
          <w:tcPr>
            <w:tcW w:w="894" w:type="dxa"/>
            <w:tcBorders>
              <w:left w:val="single" w:color="auto" w:sz="4" w:space="0"/>
              <w:right w:val="single" w:color="auto" w:sz="4" w:space="0"/>
            </w:tcBorders>
            <w:vAlign w:val="center"/>
          </w:tcPr>
          <w:p>
            <w:pPr>
              <w:jc w:val="center"/>
              <w:rPr>
                <w:rFonts w:hint="eastAsia" w:ascii="宋体" w:hAnsi="宋体" w:eastAsia="宋体" w:cs="宋体"/>
                <w:bCs/>
                <w:kern w:val="0"/>
                <w:szCs w:val="21"/>
                <w:highlight w:val="none"/>
                <w:lang w:val="en-US" w:eastAsia="zh-CN"/>
              </w:rPr>
            </w:pPr>
            <w:r>
              <w:rPr>
                <w:rFonts w:hint="eastAsia" w:ascii="Times New Roman" w:hAnsi="Times New Roman" w:eastAsia="宋体" w:cs="Times New Roman"/>
                <w:b/>
                <w:bCs/>
                <w:kern w:val="2"/>
                <w:sz w:val="21"/>
                <w:szCs w:val="24"/>
                <w:highlight w:val="none"/>
                <w:lang w:val="en-US" w:eastAsia="zh-CN" w:bidi="ar-SA"/>
              </w:rPr>
              <w:t>是</w:t>
            </w:r>
          </w:p>
        </w:tc>
        <w:tc>
          <w:tcPr>
            <w:tcW w:w="866" w:type="dxa"/>
            <w:tcBorders>
              <w:left w:val="single" w:color="auto" w:sz="4" w:space="0"/>
              <w:right w:val="single" w:color="auto" w:sz="4" w:space="0"/>
            </w:tcBorders>
            <w:vAlign w:val="center"/>
          </w:tcPr>
          <w:p>
            <w:pPr>
              <w:autoSpaceDE w:val="0"/>
              <w:autoSpaceDN w:val="0"/>
              <w:jc w:val="center"/>
              <w:rPr>
                <w:rFonts w:hint="default" w:ascii="宋体" w:hAnsi="宋体" w:eastAsia="宋体" w:cs="宋体"/>
                <w:bCs/>
                <w:kern w:val="0"/>
                <w:szCs w:val="21"/>
                <w:highlight w:val="none"/>
                <w:lang w:val="en-US" w:eastAsia="zh-CN"/>
              </w:rPr>
            </w:pPr>
            <w:r>
              <w:rPr>
                <w:rFonts w:hint="eastAsia" w:ascii="宋体" w:hAnsi="宋体" w:eastAsia="宋体" w:cs="宋体"/>
                <w:bCs/>
                <w:kern w:val="0"/>
                <w:szCs w:val="21"/>
                <w:highlight w:val="none"/>
                <w:lang w:val="en-US" w:eastAsia="zh-CN"/>
              </w:rPr>
              <w:t>否</w:t>
            </w:r>
          </w:p>
        </w:tc>
        <w:tc>
          <w:tcPr>
            <w:tcW w:w="867" w:type="dxa"/>
            <w:tcBorders>
              <w:left w:val="single" w:color="auto" w:sz="4" w:space="0"/>
              <w:right w:val="single" w:color="auto" w:sz="4" w:space="0"/>
            </w:tcBorders>
            <w:vAlign w:val="center"/>
          </w:tcPr>
          <w:p>
            <w:pPr>
              <w:jc w:val="center"/>
              <w:rPr>
                <w:rFonts w:hint="eastAsia" w:ascii="宋体" w:hAnsi="Times New Roman" w:eastAsia="宋体" w:cs="Times New Roman"/>
                <w:kern w:val="0"/>
                <w:sz w:val="18"/>
                <w:szCs w:val="18"/>
                <w:highlight w:val="none"/>
              </w:rPr>
            </w:pPr>
            <w:r>
              <w:rPr>
                <w:rFonts w:hint="eastAsia" w:ascii="Times New Roman" w:hAnsi="Times New Roman" w:eastAsia="宋体" w:cs="Times New Roman"/>
                <w:b/>
                <w:bCs/>
                <w:kern w:val="2"/>
                <w:sz w:val="21"/>
                <w:szCs w:val="24"/>
                <w:highlight w:val="none"/>
                <w:lang w:val="en-US" w:eastAsia="zh-CN" w:bidi="ar-SA"/>
              </w:rPr>
              <w:t>1个</w:t>
            </w:r>
          </w:p>
        </w:tc>
        <w:tc>
          <w:tcPr>
            <w:tcW w:w="1186" w:type="dxa"/>
            <w:tcBorders>
              <w:top w:val="single" w:color="auto" w:sz="4" w:space="0"/>
              <w:left w:val="single" w:color="auto" w:sz="4" w:space="0"/>
              <w:bottom w:val="single" w:color="auto" w:sz="4" w:space="0"/>
            </w:tcBorders>
            <w:vAlign w:val="center"/>
          </w:tcPr>
          <w:p>
            <w:pPr>
              <w:jc w:val="center"/>
              <w:rPr>
                <w:rFonts w:hint="default" w:ascii="宋体" w:hAnsi="Times New Roman" w:eastAsia="宋体" w:cs="Times New Roman"/>
                <w:kern w:val="0"/>
                <w:sz w:val="18"/>
                <w:szCs w:val="18"/>
                <w:highlight w:val="none"/>
                <w:lang w:val="en-US" w:eastAsia="zh-CN"/>
              </w:rPr>
            </w:pPr>
            <w:r>
              <w:rPr>
                <w:rFonts w:hint="eastAsia" w:ascii="宋体" w:hAnsi="Times New Roman" w:eastAsia="宋体" w:cs="Times New Roman"/>
                <w:kern w:val="0"/>
                <w:sz w:val="18"/>
                <w:szCs w:val="18"/>
                <w:highlight w:val="none"/>
                <w:lang w:val="en-US" w:eastAsia="zh-CN"/>
              </w:rPr>
              <w:t>45000</w:t>
            </w:r>
          </w:p>
        </w:tc>
        <w:tc>
          <w:tcPr>
            <w:tcW w:w="1639" w:type="dxa"/>
            <w:vMerge w:val="continue"/>
            <w:tcBorders>
              <w:left w:val="single" w:color="auto" w:sz="4" w:space="0"/>
            </w:tcBorders>
            <w:vAlign w:val="center"/>
          </w:tcPr>
          <w:p>
            <w:pPr>
              <w:autoSpaceDE w:val="0"/>
              <w:autoSpaceDN w:val="0"/>
              <w:jc w:val="center"/>
              <w:rPr>
                <w:rFonts w:ascii="宋体" w:hAnsi="宋体" w:eastAsia="宋体" w:cs="宋体"/>
                <w:kern w:val="0"/>
                <w:szCs w:val="21"/>
                <w:highlight w:val="none"/>
              </w:rPr>
            </w:pPr>
          </w:p>
        </w:tc>
        <w:tc>
          <w:tcPr>
            <w:tcW w:w="865" w:type="dxa"/>
            <w:vMerge w:val="continue"/>
            <w:tcBorders>
              <w:left w:val="single" w:color="auto" w:sz="4" w:space="0"/>
            </w:tcBorders>
            <w:vAlign w:val="center"/>
          </w:tcPr>
          <w:p>
            <w:pPr>
              <w:autoSpaceDE w:val="0"/>
              <w:autoSpaceDN w:val="0"/>
              <w:jc w:val="center"/>
              <w:rPr>
                <w:rFonts w:ascii="宋体" w:hAnsi="宋体" w:eastAsia="宋体" w:cs="宋体"/>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80" w:type="dxa"/>
            <w:tcBorders>
              <w:left w:val="single" w:color="auto" w:sz="4" w:space="0"/>
              <w:right w:val="single" w:color="auto" w:sz="4" w:space="0"/>
            </w:tcBorders>
            <w:vAlign w:val="center"/>
          </w:tcPr>
          <w:p>
            <w:pPr>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8</w:t>
            </w:r>
          </w:p>
        </w:tc>
        <w:tc>
          <w:tcPr>
            <w:tcW w:w="109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宋体" w:hAnsi="宋体" w:eastAsia="宋体" w:cs="宋体"/>
                <w:szCs w:val="21"/>
                <w:highlight w:val="none"/>
                <w:lang w:val="en-US"/>
              </w:rPr>
            </w:pPr>
            <w:r>
              <w:rPr>
                <w:rFonts w:hint="eastAsia" w:ascii="Times New Roman" w:hAnsi="Times New Roman" w:eastAsia="宋体" w:cs="Times New Roman"/>
                <w:kern w:val="2"/>
                <w:sz w:val="21"/>
                <w:szCs w:val="24"/>
                <w:highlight w:val="none"/>
                <w:lang w:val="en-US" w:eastAsia="zh-CN" w:bidi="ar-SA"/>
              </w:rPr>
              <w:t>冷藏库4</w:t>
            </w:r>
          </w:p>
        </w:tc>
        <w:tc>
          <w:tcPr>
            <w:tcW w:w="894"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highlight w:val="none"/>
                <w:lang w:val="en-US" w:eastAsia="zh-CN" w:bidi="ar-SA"/>
              </w:rPr>
            </w:pPr>
          </w:p>
        </w:tc>
        <w:tc>
          <w:tcPr>
            <w:tcW w:w="894" w:type="dxa"/>
            <w:tcBorders>
              <w:left w:val="single" w:color="auto" w:sz="4" w:space="0"/>
              <w:right w:val="single" w:color="auto" w:sz="4" w:space="0"/>
            </w:tcBorders>
            <w:vAlign w:val="center"/>
          </w:tcPr>
          <w:p>
            <w:pPr>
              <w:jc w:val="center"/>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否</w:t>
            </w:r>
          </w:p>
        </w:tc>
        <w:tc>
          <w:tcPr>
            <w:tcW w:w="866" w:type="dxa"/>
            <w:tcBorders>
              <w:left w:val="single" w:color="auto" w:sz="4" w:space="0"/>
              <w:right w:val="single" w:color="auto" w:sz="4" w:space="0"/>
            </w:tcBorders>
            <w:vAlign w:val="center"/>
          </w:tcPr>
          <w:p>
            <w:pPr>
              <w:autoSpaceDE w:val="0"/>
              <w:autoSpaceDN w:val="0"/>
              <w:jc w:val="center"/>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否</w:t>
            </w:r>
          </w:p>
        </w:tc>
        <w:tc>
          <w:tcPr>
            <w:tcW w:w="867" w:type="dxa"/>
            <w:tcBorders>
              <w:left w:val="single" w:color="auto" w:sz="4" w:space="0"/>
              <w:right w:val="single" w:color="auto" w:sz="4" w:space="0"/>
            </w:tcBorders>
            <w:vAlign w:val="center"/>
          </w:tcPr>
          <w:p>
            <w:pPr>
              <w:jc w:val="center"/>
              <w:rPr>
                <w:rFonts w:hint="eastAsia" w:ascii="宋体" w:hAnsi="Times New Roman" w:eastAsia="宋体" w:cs="Times New Roman"/>
                <w:kern w:val="0"/>
                <w:sz w:val="18"/>
                <w:szCs w:val="18"/>
                <w:highlight w:val="none"/>
              </w:rPr>
            </w:pPr>
            <w:r>
              <w:rPr>
                <w:rFonts w:hint="eastAsia" w:ascii="宋体" w:hAnsi="Times New Roman" w:eastAsia="宋体" w:cs="Times New Roman"/>
                <w:kern w:val="0"/>
                <w:sz w:val="18"/>
                <w:szCs w:val="18"/>
                <w:highlight w:val="none"/>
              </w:rPr>
              <w:t>1</w:t>
            </w:r>
            <w:r>
              <w:rPr>
                <w:rFonts w:hint="eastAsia" w:ascii="宋体" w:hAnsi="Times New Roman" w:eastAsia="宋体" w:cs="Times New Roman"/>
                <w:kern w:val="0"/>
                <w:sz w:val="18"/>
                <w:szCs w:val="18"/>
                <w:highlight w:val="none"/>
                <w:lang w:val="en-US" w:eastAsia="zh-CN"/>
              </w:rPr>
              <w:t>个</w:t>
            </w:r>
          </w:p>
        </w:tc>
        <w:tc>
          <w:tcPr>
            <w:tcW w:w="1186" w:type="dxa"/>
            <w:tcBorders>
              <w:top w:val="single" w:color="auto" w:sz="4" w:space="0"/>
              <w:left w:val="single" w:color="auto" w:sz="4" w:space="0"/>
              <w:bottom w:val="single" w:color="auto" w:sz="4" w:space="0"/>
            </w:tcBorders>
            <w:vAlign w:val="center"/>
          </w:tcPr>
          <w:p>
            <w:pPr>
              <w:jc w:val="center"/>
              <w:rPr>
                <w:rFonts w:hint="eastAsia" w:ascii="宋体" w:hAnsi="Times New Roman" w:eastAsia="宋体" w:cs="Times New Roman"/>
                <w:kern w:val="0"/>
                <w:sz w:val="18"/>
                <w:szCs w:val="18"/>
                <w:highlight w:val="none"/>
              </w:rPr>
            </w:pPr>
            <w:r>
              <w:rPr>
                <w:rFonts w:hint="eastAsia" w:ascii="宋体" w:hAnsi="Times New Roman" w:eastAsia="宋体" w:cs="Times New Roman"/>
                <w:kern w:val="0"/>
                <w:sz w:val="18"/>
                <w:szCs w:val="18"/>
                <w:highlight w:val="none"/>
                <w:lang w:val="en-US" w:eastAsia="zh-CN"/>
              </w:rPr>
              <w:t>45000</w:t>
            </w:r>
          </w:p>
        </w:tc>
        <w:tc>
          <w:tcPr>
            <w:tcW w:w="1639" w:type="dxa"/>
            <w:vMerge w:val="continue"/>
            <w:tcBorders>
              <w:left w:val="single" w:color="auto" w:sz="4" w:space="0"/>
              <w:bottom w:val="single" w:color="auto" w:sz="4" w:space="0"/>
            </w:tcBorders>
            <w:vAlign w:val="center"/>
          </w:tcPr>
          <w:p>
            <w:pPr>
              <w:autoSpaceDE w:val="0"/>
              <w:autoSpaceDN w:val="0"/>
              <w:jc w:val="center"/>
              <w:rPr>
                <w:rFonts w:ascii="宋体" w:hAnsi="宋体" w:eastAsia="宋体" w:cs="宋体"/>
                <w:kern w:val="0"/>
                <w:szCs w:val="21"/>
                <w:highlight w:val="none"/>
              </w:rPr>
            </w:pPr>
          </w:p>
        </w:tc>
        <w:tc>
          <w:tcPr>
            <w:tcW w:w="865" w:type="dxa"/>
            <w:vMerge w:val="continue"/>
            <w:tcBorders>
              <w:left w:val="single" w:color="auto" w:sz="4" w:space="0"/>
              <w:bottom w:val="single" w:color="auto" w:sz="4" w:space="0"/>
            </w:tcBorders>
            <w:vAlign w:val="center"/>
          </w:tcPr>
          <w:p>
            <w:pPr>
              <w:autoSpaceDE w:val="0"/>
              <w:autoSpaceDN w:val="0"/>
              <w:jc w:val="center"/>
              <w:rPr>
                <w:rFonts w:ascii="宋体" w:hAnsi="宋体" w:eastAsia="宋体" w:cs="宋体"/>
                <w:kern w:val="0"/>
                <w:szCs w:val="21"/>
                <w:highlight w:val="none"/>
              </w:rPr>
            </w:pPr>
          </w:p>
        </w:tc>
      </w:tr>
    </w:tbl>
    <w:p>
      <w:pPr>
        <w:rPr>
          <w:rFonts w:ascii="Times New Roman" w:hAnsi="Times New Roman" w:eastAsia="宋体" w:cs="Times New Roman"/>
          <w:highlight w:val="none"/>
        </w:rPr>
      </w:pPr>
    </w:p>
    <w:p>
      <w:pPr>
        <w:rPr>
          <w:rFonts w:ascii="宋体" w:hAnsi="宋体" w:eastAsia="宋体" w:cs="宋体"/>
          <w:b/>
          <w:kern w:val="0"/>
          <w:szCs w:val="21"/>
          <w:highlight w:val="none"/>
        </w:rPr>
      </w:pPr>
      <w:r>
        <w:rPr>
          <w:rFonts w:hint="eastAsia" w:ascii="宋体" w:hAnsi="宋体" w:eastAsia="宋体" w:cs="宋体"/>
          <w:b/>
          <w:szCs w:val="21"/>
          <w:highlight w:val="none"/>
        </w:rPr>
        <w:t>备注：1）</w:t>
      </w:r>
      <w:r>
        <w:rPr>
          <w:rFonts w:hint="eastAsia" w:ascii="宋体" w:hAnsi="宋体" w:eastAsia="宋体" w:cs="宋体"/>
          <w:b/>
          <w:kern w:val="0"/>
          <w:szCs w:val="21"/>
          <w:highlight w:val="none"/>
        </w:rPr>
        <w:t>投标报价超过该包采购预算金额或最高限价的，该包作无效投标处理。</w:t>
      </w:r>
    </w:p>
    <w:p>
      <w:pPr>
        <w:ind w:firstLine="632" w:firstLineChars="300"/>
        <w:rPr>
          <w:rFonts w:ascii="宋体" w:hAnsi="宋体" w:eastAsia="宋体" w:cs="宋体"/>
          <w:b/>
          <w:szCs w:val="21"/>
          <w:highlight w:val="none"/>
        </w:rPr>
      </w:pPr>
      <w:r>
        <w:rPr>
          <w:rFonts w:hint="eastAsia" w:ascii="宋体" w:hAnsi="宋体" w:eastAsia="宋体" w:cs="宋体"/>
          <w:b/>
          <w:kern w:val="0"/>
          <w:szCs w:val="21"/>
          <w:highlight w:val="none"/>
        </w:rPr>
        <w:t>2）</w:t>
      </w:r>
      <w:r>
        <w:rPr>
          <w:rFonts w:hint="eastAsia" w:ascii="宋体" w:hAnsi="宋体" w:eastAsia="宋体" w:cs="宋体"/>
          <w:b/>
          <w:szCs w:val="21"/>
          <w:highlight w:val="none"/>
        </w:rPr>
        <w:t>单个货物报价超出其单价限价的，作无效投标处理。</w:t>
      </w:r>
    </w:p>
    <w:p>
      <w:pPr>
        <w:ind w:firstLine="632" w:firstLineChars="300"/>
        <w:rPr>
          <w:rFonts w:ascii="宋体" w:hAnsi="宋体" w:eastAsia="宋体" w:cs="宋体"/>
          <w:b/>
          <w:kern w:val="0"/>
          <w:szCs w:val="21"/>
          <w:highlight w:val="none"/>
        </w:rPr>
      </w:pPr>
      <w:r>
        <w:rPr>
          <w:rFonts w:hint="eastAsia" w:ascii="宋体" w:hAnsi="宋体" w:eastAsia="宋体" w:cs="宋体"/>
          <w:b/>
          <w:kern w:val="0"/>
          <w:szCs w:val="21"/>
          <w:highlight w:val="none"/>
        </w:rPr>
        <w:t>3）多家</w:t>
      </w:r>
      <w:r>
        <w:rPr>
          <w:rFonts w:hint="eastAsia" w:ascii="宋体" w:hAnsi="宋体" w:eastAsia="宋体" w:cs="宋体"/>
          <w:b/>
          <w:szCs w:val="21"/>
          <w:highlight w:val="none"/>
        </w:rPr>
        <w:t>投标人</w:t>
      </w:r>
      <w:r>
        <w:rPr>
          <w:rFonts w:hint="eastAsia" w:ascii="宋体" w:hAnsi="宋体" w:eastAsia="宋体" w:cs="宋体"/>
          <w:b/>
          <w:kern w:val="0"/>
          <w:szCs w:val="21"/>
          <w:highlight w:val="none"/>
        </w:rPr>
        <w:t>提供的核心产品品牌相同的，认定办法详见“《第四章评标方法、步骤及标准》</w:t>
      </w:r>
      <w:r>
        <w:rPr>
          <w:rFonts w:hint="eastAsia" w:ascii="宋体" w:hAnsi="宋体" w:eastAsia="宋体" w:cs="宋体"/>
          <w:b/>
          <w:bCs/>
          <w:szCs w:val="21"/>
          <w:highlight w:val="none"/>
        </w:rPr>
        <w:t>（五）推荐中标</w:t>
      </w:r>
      <w:r>
        <w:rPr>
          <w:rFonts w:hint="eastAsia" w:ascii="宋体" w:hAnsi="宋体" w:eastAsia="宋体" w:cs="宋体"/>
          <w:b/>
          <w:szCs w:val="21"/>
          <w:highlight w:val="none"/>
        </w:rPr>
        <w:t>候选人</w:t>
      </w:r>
      <w:r>
        <w:rPr>
          <w:rFonts w:hint="eastAsia" w:ascii="宋体" w:hAnsi="宋体" w:eastAsia="宋体" w:cs="宋体"/>
          <w:b/>
          <w:bCs/>
          <w:szCs w:val="21"/>
          <w:highlight w:val="none"/>
        </w:rPr>
        <w:t>名单</w:t>
      </w:r>
      <w:r>
        <w:rPr>
          <w:rFonts w:hint="eastAsia" w:ascii="宋体" w:hAnsi="宋体" w:eastAsia="宋体" w:cs="宋体"/>
          <w:b/>
          <w:kern w:val="0"/>
          <w:szCs w:val="21"/>
          <w:highlight w:val="none"/>
        </w:rPr>
        <w:t>”。</w:t>
      </w:r>
    </w:p>
    <w:p>
      <w:pPr>
        <w:ind w:firstLine="632" w:firstLineChars="300"/>
        <w:rPr>
          <w:rFonts w:ascii="宋体" w:hAnsi="宋体" w:eastAsia="宋体" w:cs="宋体"/>
          <w:szCs w:val="21"/>
          <w:highlight w:val="none"/>
        </w:rPr>
      </w:pPr>
      <w:r>
        <w:rPr>
          <w:rFonts w:hint="eastAsia" w:ascii="宋体" w:hAnsi="宋体" w:eastAsia="宋体" w:cs="宋体"/>
          <w:b/>
          <w:kern w:val="0"/>
          <w:szCs w:val="21"/>
          <w:highlight w:val="none"/>
        </w:rPr>
        <w:t>4）投标人应按以上清单完整提供相应数量的货物，如有漏项缺项（含分项）、掉量（含数</w:t>
      </w:r>
      <w:r>
        <w:rPr>
          <w:rFonts w:hint="eastAsia" w:ascii="宋体" w:hAnsi="宋体" w:eastAsia="宋体" w:cs="宋体"/>
          <w:b/>
          <w:szCs w:val="21"/>
          <w:highlight w:val="none"/>
        </w:rPr>
        <w:t>量不足），视为无效投标；并在其投标文件中提供所投货物详细的配置清单。</w:t>
      </w:r>
    </w:p>
    <w:p>
      <w:pPr>
        <w:rPr>
          <w:rFonts w:ascii="Times New Roman" w:hAnsi="Times New Roman" w:eastAsia="宋体" w:cs="Times New Roman"/>
          <w:szCs w:val="21"/>
          <w:highlight w:val="none"/>
        </w:rPr>
      </w:pPr>
    </w:p>
    <w:p>
      <w:pPr>
        <w:adjustRightInd w:val="0"/>
        <w:snapToGrid w:val="0"/>
        <w:spacing w:before="120" w:beforeLines="50" w:line="360" w:lineRule="auto"/>
        <w:outlineLvl w:val="1"/>
        <w:rPr>
          <w:rFonts w:ascii="宋体" w:hAnsi="宋体" w:eastAsia="宋体" w:cs="宋体"/>
          <w:b/>
          <w:szCs w:val="21"/>
          <w:highlight w:val="none"/>
        </w:rPr>
      </w:pPr>
      <w:bookmarkStart w:id="1" w:name="_Toc12641"/>
      <w:r>
        <w:rPr>
          <w:rFonts w:hint="eastAsia" w:ascii="宋体" w:hAnsi="宋体" w:eastAsia="宋体" w:cs="宋体"/>
          <w:b/>
          <w:szCs w:val="21"/>
          <w:highlight w:val="none"/>
        </w:rPr>
        <w:t>二、采购标的需实现的功能或者目标，以及为落实政府采购政策需满足的要求</w:t>
      </w:r>
      <w:bookmarkEnd w:id="1"/>
    </w:p>
    <w:p>
      <w:pPr>
        <w:numPr>
          <w:ilvl w:val="0"/>
          <w:numId w:val="1"/>
        </w:numPr>
        <w:ind w:left="-2"/>
        <w:rPr>
          <w:rFonts w:ascii="宋体" w:hAnsi="宋体" w:eastAsia="宋体" w:cs="宋体"/>
          <w:b/>
          <w:bCs/>
          <w:szCs w:val="21"/>
          <w:highlight w:val="none"/>
        </w:rPr>
      </w:pPr>
      <w:r>
        <w:rPr>
          <w:rFonts w:hint="eastAsia" w:ascii="宋体" w:hAnsi="宋体" w:eastAsia="宋体" w:cs="宋体"/>
          <w:b/>
          <w:bCs/>
          <w:szCs w:val="21"/>
          <w:highlight w:val="none"/>
        </w:rPr>
        <w:t>采购标的要求</w:t>
      </w:r>
    </w:p>
    <w:tbl>
      <w:tblPr>
        <w:tblStyle w:val="2"/>
        <w:tblW w:w="511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1" w:type="dxa"/>
          <w:bottom w:w="0" w:type="dxa"/>
          <w:right w:w="51" w:type="dxa"/>
        </w:tblCellMar>
      </w:tblPr>
      <w:tblGrid>
        <w:gridCol w:w="485"/>
        <w:gridCol w:w="837"/>
        <w:gridCol w:w="7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55" w:hRule="atLeast"/>
          <w:tblHeader/>
          <w:jc w:val="center"/>
        </w:trPr>
        <w:tc>
          <w:tcPr>
            <w:tcW w:w="281"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eastAsia="宋体" w:cs="宋体"/>
                <w:b/>
                <w:bCs/>
                <w:szCs w:val="21"/>
                <w:highlight w:val="none"/>
              </w:rPr>
            </w:pPr>
            <w:r>
              <w:rPr>
                <w:rFonts w:hint="eastAsia" w:ascii="宋体" w:hAnsi="宋体" w:eastAsia="宋体" w:cs="宋体"/>
                <w:b/>
                <w:bCs/>
                <w:szCs w:val="21"/>
                <w:highlight w:val="none"/>
              </w:rPr>
              <w:t>序号</w:t>
            </w:r>
          </w:p>
        </w:tc>
        <w:tc>
          <w:tcPr>
            <w:tcW w:w="485"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eastAsia="宋体" w:cs="宋体"/>
                <w:b/>
                <w:bCs/>
                <w:szCs w:val="21"/>
                <w:highlight w:val="none"/>
              </w:rPr>
            </w:pPr>
            <w:r>
              <w:rPr>
                <w:rFonts w:hint="eastAsia" w:ascii="宋体" w:hAnsi="宋体" w:eastAsia="宋体" w:cs="宋体"/>
                <w:b/>
                <w:bCs/>
                <w:szCs w:val="21"/>
                <w:highlight w:val="none"/>
              </w:rPr>
              <w:t>货物名称</w:t>
            </w:r>
          </w:p>
        </w:tc>
        <w:tc>
          <w:tcPr>
            <w:tcW w:w="4232"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eastAsia="宋体" w:cs="宋体"/>
                <w:b/>
                <w:bCs/>
                <w:szCs w:val="21"/>
                <w:highlight w:val="none"/>
              </w:rPr>
            </w:pPr>
            <w:r>
              <w:rPr>
                <w:rFonts w:hint="eastAsia" w:ascii="宋体" w:hAnsi="宋体" w:eastAsia="宋体" w:cs="宋体"/>
                <w:b/>
                <w:bCs/>
                <w:kern w:val="0"/>
                <w:szCs w:val="21"/>
                <w:highlight w:val="none"/>
              </w:rPr>
              <w:t>技术参数要求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53" w:hRule="atLeast"/>
          <w:jc w:val="center"/>
        </w:trPr>
        <w:tc>
          <w:tcPr>
            <w:tcW w:w="281"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eastAsia="宋体" w:cs="宋体"/>
                <w:szCs w:val="21"/>
                <w:highlight w:val="none"/>
              </w:rPr>
            </w:pPr>
            <w:r>
              <w:rPr>
                <w:rFonts w:hint="eastAsia" w:ascii="宋体" w:hAnsi="宋体" w:eastAsia="宋体" w:cs="宋体"/>
                <w:szCs w:val="21"/>
                <w:highlight w:val="none"/>
              </w:rPr>
              <w:t>1</w:t>
            </w:r>
          </w:p>
        </w:tc>
        <w:tc>
          <w:tcPr>
            <w:tcW w:w="485"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eastAsia="宋体" w:cs="宋体"/>
                <w:szCs w:val="21"/>
                <w:highlight w:val="none"/>
              </w:rPr>
            </w:pPr>
            <w:r>
              <w:rPr>
                <w:rFonts w:hint="eastAsia" w:ascii="Times New Roman" w:hAnsi="Times New Roman" w:eastAsia="宋体" w:cs="Times New Roman"/>
                <w:kern w:val="2"/>
                <w:sz w:val="21"/>
                <w:szCs w:val="24"/>
                <w:highlight w:val="none"/>
                <w:lang w:val="en-US" w:eastAsia="zh-CN" w:bidi="ar-SA"/>
              </w:rPr>
              <w:t>保鲜库库体含门1</w:t>
            </w:r>
          </w:p>
        </w:tc>
        <w:tc>
          <w:tcPr>
            <w:tcW w:w="4232"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jc w:val="left"/>
              <w:textAlignment w:val="auto"/>
              <w:rPr>
                <w:rFonts w:hint="eastAsia" w:ascii="宋体" w:hAnsi="宋体" w:eastAsia="宋体" w:cs="宋体"/>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w:t>
            </w:r>
            <w:r>
              <w:rPr>
                <w:rFonts w:hint="eastAsia" w:ascii="宋体" w:hAnsi="宋体" w:eastAsia="宋体" w:cs="宋体"/>
                <w:kern w:val="2"/>
                <w:sz w:val="21"/>
                <w:szCs w:val="24"/>
                <w:highlight w:val="none"/>
                <w:lang w:val="en-US" w:eastAsia="zh-CN" w:bidi="ar-SA"/>
              </w:rPr>
              <w:t>1、规格：3m*2.5m*2.5m（±10cm）</w:t>
            </w:r>
            <w:r>
              <w:rPr>
                <w:rFonts w:hint="eastAsia" w:ascii="宋体" w:hAnsi="宋体" w:eastAsia="宋体" w:cs="宋体"/>
                <w:b/>
                <w:bCs/>
                <w:kern w:val="2"/>
                <w:sz w:val="21"/>
                <w:szCs w:val="24"/>
                <w:highlight w:val="none"/>
                <w:lang w:val="en-US" w:eastAsia="zh-CN" w:bidi="ar-SA"/>
              </w:rPr>
              <w:t>（提供承诺书）</w:t>
            </w:r>
          </w:p>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冷库门：</w:t>
            </w:r>
          </w:p>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highlight w:val="none"/>
              </w:rPr>
            </w:pPr>
            <w:r>
              <w:rPr>
                <w:rFonts w:hint="eastAsia" w:ascii="Times New Roman" w:hAnsi="Times New Roman" w:eastAsia="宋体" w:cs="Times New Roman"/>
                <w:highlight w:val="none"/>
              </w:rPr>
              <w:t>★</w:t>
            </w:r>
            <w:r>
              <w:rPr>
                <w:rFonts w:hint="eastAsia" w:ascii="宋体" w:hAnsi="宋体" w:eastAsia="宋体" w:cs="宋体"/>
                <w:highlight w:val="none"/>
                <w:lang w:eastAsia="zh-CN"/>
              </w:rPr>
              <w:t>（</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w:t>
            </w:r>
            <w:r>
              <w:rPr>
                <w:rFonts w:hint="eastAsia" w:ascii="宋体" w:hAnsi="宋体" w:eastAsia="宋体" w:cs="宋体"/>
                <w:highlight w:val="none"/>
                <w:lang w:val="en-US" w:eastAsia="zh-CN"/>
              </w:rPr>
              <w:t>规格：</w:t>
            </w:r>
            <w:r>
              <w:rPr>
                <w:rFonts w:hint="eastAsia" w:ascii="宋体" w:hAnsi="宋体" w:eastAsia="宋体" w:cs="宋体"/>
                <w:highlight w:val="none"/>
              </w:rPr>
              <w:t>800</w:t>
            </w:r>
            <w:r>
              <w:rPr>
                <w:rFonts w:hint="eastAsia" w:ascii="宋体" w:hAnsi="宋体" w:eastAsia="宋体" w:cs="宋体"/>
                <w:highlight w:val="none"/>
                <w:lang w:val="en-US" w:eastAsia="zh-CN"/>
              </w:rPr>
              <w:t>mm</w:t>
            </w:r>
            <w:r>
              <w:rPr>
                <w:rFonts w:hint="eastAsia" w:ascii="宋体" w:hAnsi="宋体" w:eastAsia="宋体" w:cs="宋体"/>
                <w:highlight w:val="none"/>
              </w:rPr>
              <w:t>*1800</w:t>
            </w:r>
            <w:r>
              <w:rPr>
                <w:rFonts w:hint="eastAsia" w:ascii="宋体" w:hAnsi="宋体" w:eastAsia="宋体" w:cs="宋体"/>
                <w:highlight w:val="none"/>
                <w:lang w:val="en-US" w:eastAsia="zh-CN"/>
              </w:rPr>
              <w:t>mm</w:t>
            </w:r>
            <w:r>
              <w:rPr>
                <w:rFonts w:hint="eastAsia" w:ascii="宋体" w:hAnsi="宋体" w:eastAsia="宋体" w:cs="宋体"/>
                <w:highlight w:val="none"/>
              </w:rPr>
              <w:t>，</w:t>
            </w:r>
            <w:r>
              <w:rPr>
                <w:rFonts w:hint="eastAsia" w:ascii="宋体" w:hAnsi="宋体" w:eastAsia="宋体" w:cs="宋体"/>
                <w:highlight w:val="none"/>
                <w:lang w:val="en-US" w:eastAsia="zh-CN"/>
              </w:rPr>
              <w:t>（±10mm）</w:t>
            </w:r>
            <w:r>
              <w:rPr>
                <w:rFonts w:hint="eastAsia" w:ascii="宋体" w:hAnsi="宋体" w:eastAsia="宋体" w:cs="宋体"/>
                <w:b/>
                <w:bCs/>
                <w:highlight w:val="none"/>
                <w:lang w:eastAsia="zh-CN"/>
              </w:rPr>
              <w:t>（</w:t>
            </w:r>
            <w:r>
              <w:rPr>
                <w:rFonts w:hint="eastAsia" w:ascii="宋体" w:hAnsi="宋体" w:eastAsia="宋体" w:cs="宋体"/>
                <w:b/>
                <w:bCs/>
                <w:highlight w:val="none"/>
                <w:lang w:val="en-US" w:eastAsia="zh-CN"/>
              </w:rPr>
              <w:t>提供承诺书</w:t>
            </w:r>
            <w:r>
              <w:rPr>
                <w:rFonts w:hint="eastAsia" w:ascii="宋体" w:hAnsi="宋体" w:eastAsia="宋体" w:cs="宋体"/>
                <w:b/>
                <w:bCs/>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highlight w:val="none"/>
                <w:lang w:val="en-US" w:eastAsia="zh-CN"/>
              </w:rPr>
            </w:pPr>
            <w:r>
              <w:rPr>
                <w:rFonts w:hint="eastAsia" w:ascii="Times New Roman" w:hAnsi="Times New Roman" w:eastAsia="宋体" w:cs="Times New Roman"/>
                <w:highlight w:val="none"/>
              </w:rPr>
              <w:t>▲</w:t>
            </w: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w:t>
            </w:r>
            <w:r>
              <w:rPr>
                <w:rFonts w:hint="eastAsia" w:ascii="宋体" w:hAnsi="宋体" w:eastAsia="宋体" w:cs="宋体"/>
                <w:highlight w:val="none"/>
              </w:rPr>
              <w:t>双面</w:t>
            </w:r>
            <w:r>
              <w:rPr>
                <w:rFonts w:hint="eastAsia" w:ascii="宋体" w:hAnsi="宋体" w:eastAsia="宋体" w:cs="宋体"/>
                <w:highlight w:val="none"/>
                <w:lang w:val="en-US" w:eastAsia="zh-CN"/>
              </w:rPr>
              <w:t>≥</w:t>
            </w:r>
            <w:r>
              <w:rPr>
                <w:rFonts w:hint="eastAsia" w:ascii="宋体" w:hAnsi="宋体" w:eastAsia="宋体" w:cs="宋体"/>
                <w:highlight w:val="none"/>
              </w:rPr>
              <w:t>0.5mm彩钢，半埋平开门，带门框加热丝（防结露）</w:t>
            </w:r>
            <w:r>
              <w:rPr>
                <w:rFonts w:hint="eastAsia" w:ascii="宋体" w:hAnsi="宋体" w:eastAsia="宋体" w:cs="宋体"/>
                <w:b/>
                <w:bCs/>
                <w:highlight w:val="none"/>
                <w:lang w:eastAsia="zh-CN"/>
              </w:rPr>
              <w:t>（</w:t>
            </w:r>
            <w:r>
              <w:rPr>
                <w:rFonts w:hint="eastAsia" w:ascii="宋体" w:hAnsi="宋体" w:eastAsia="宋体" w:cs="宋体"/>
                <w:b/>
                <w:bCs/>
                <w:highlight w:val="none"/>
                <w:lang w:val="en-US" w:eastAsia="zh-CN"/>
              </w:rPr>
              <w:t>提供承诺书</w:t>
            </w:r>
            <w:r>
              <w:rPr>
                <w:rFonts w:hint="eastAsia" w:ascii="宋体" w:hAnsi="宋体" w:eastAsia="宋体" w:cs="宋体"/>
                <w:b/>
                <w:bCs/>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3、库体保温层：</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jc w:val="both"/>
              <w:textAlignment w:val="auto"/>
              <w:rPr>
                <w:rFonts w:hint="eastAsia" w:ascii="宋体" w:hAnsi="宋体" w:eastAsia="宋体" w:cs="宋体"/>
                <w:b/>
                <w:bCs/>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▲（1）</w:t>
            </w:r>
            <w:r>
              <w:rPr>
                <w:rFonts w:hint="eastAsia" w:ascii="宋体" w:hAnsi="宋体" w:eastAsia="宋体" w:cs="宋体"/>
                <w:kern w:val="2"/>
                <w:sz w:val="21"/>
                <w:szCs w:val="24"/>
                <w:highlight w:val="none"/>
                <w:lang w:val="en-US" w:eastAsia="zh-CN" w:bidi="ar-SA"/>
              </w:rPr>
              <w:t>双面≥0.5mm彩钢+≥150mm PIR芯材</w:t>
            </w:r>
            <w:r>
              <w:rPr>
                <w:rFonts w:hint="eastAsia" w:ascii="宋体" w:hAnsi="宋体" w:eastAsia="宋体" w:cs="宋体"/>
                <w:b/>
                <w:bCs/>
                <w:kern w:val="2"/>
                <w:sz w:val="21"/>
                <w:szCs w:val="24"/>
                <w:highlight w:val="none"/>
                <w:lang w:val="en-US" w:eastAsia="zh-CN" w:bidi="ar-SA"/>
              </w:rPr>
              <w:t>，（提供承诺书）</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jc w:val="both"/>
              <w:textAlignment w:val="auto"/>
              <w:rPr>
                <w:rFonts w:hint="eastAsia" w:ascii="宋体" w:hAnsi="宋体" w:eastAsia="宋体" w:cs="宋体"/>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w:t>
            </w:r>
            <w:r>
              <w:rPr>
                <w:rFonts w:hint="eastAsia" w:ascii="宋体" w:hAnsi="宋体" w:eastAsia="宋体" w:cs="宋体"/>
                <w:b/>
                <w:bCs/>
                <w:kern w:val="2"/>
                <w:sz w:val="21"/>
                <w:szCs w:val="24"/>
                <w:highlight w:val="none"/>
                <w:lang w:val="en-US" w:eastAsia="zh-CN" w:bidi="ar-SA"/>
              </w:rPr>
              <w:t>（2）芯材防火等级：不低于B1级难燃（即：可燃性实验：60s内焰尖高度Fs&lt;150 mm，60s内无燃烧滴落物引燃滤纸现象；单体燃烧实验：燃烧增长速率指数FIGRA0.4MJ≤250 W/s，火焰横向蔓延未到达试样长翼边缘，600s的总放热量 THR600s&lt;15 MJ），（提供芯材的材料检测报告，检测标准：GB 8624-2012《建筑材料及制品燃烧性能分级》</w:t>
            </w:r>
            <w:r>
              <w:rPr>
                <w:rFonts w:hint="eastAsia" w:ascii="宋体" w:hAnsi="宋体" w:eastAsia="宋体" w:cs="宋体"/>
                <w:kern w:val="2"/>
                <w:sz w:val="21"/>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4、地面保温：</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宋体" w:hAnsi="宋体" w:eastAsia="宋体" w:cs="宋体"/>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w:t>
            </w:r>
            <w:r>
              <w:rPr>
                <w:rFonts w:hint="eastAsia" w:ascii="宋体" w:hAnsi="宋体" w:eastAsia="宋体" w:cs="宋体"/>
                <w:kern w:val="2"/>
                <w:sz w:val="21"/>
                <w:szCs w:val="24"/>
                <w:highlight w:val="none"/>
                <w:lang w:val="en-US" w:eastAsia="zh-CN" w:bidi="ar-SA"/>
              </w:rPr>
              <w:t>（1）厚度≥150mmXPS挤塑板，（抗压强度≥200kPa）</w:t>
            </w:r>
            <w:r>
              <w:rPr>
                <w:rFonts w:hint="eastAsia" w:ascii="宋体" w:hAnsi="宋体" w:eastAsia="宋体" w:cs="宋体"/>
                <w:b/>
                <w:bCs/>
                <w:kern w:val="2"/>
                <w:sz w:val="21"/>
                <w:szCs w:val="24"/>
                <w:highlight w:val="none"/>
                <w:lang w:val="en-US" w:eastAsia="zh-CN" w:bidi="ar-SA"/>
              </w:rPr>
              <w:t>（提供承诺书）</w:t>
            </w:r>
            <w:r>
              <w:rPr>
                <w:rFonts w:hint="eastAsia" w:ascii="宋体" w:hAnsi="宋体" w:eastAsia="宋体" w:cs="宋体"/>
                <w:kern w:val="2"/>
                <w:sz w:val="21"/>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宋体" w:hAnsi="宋体" w:eastAsia="宋体" w:cs="宋体"/>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w:t>
            </w:r>
            <w:r>
              <w:rPr>
                <w:rFonts w:hint="eastAsia" w:ascii="宋体" w:hAnsi="宋体" w:eastAsia="宋体" w:cs="宋体"/>
                <w:kern w:val="2"/>
                <w:sz w:val="21"/>
                <w:szCs w:val="24"/>
                <w:highlight w:val="none"/>
                <w:lang w:val="en-US" w:eastAsia="zh-CN" w:bidi="ar-SA"/>
              </w:rPr>
              <w:t>（2）双层防潮隔气层；</w:t>
            </w:r>
            <w:r>
              <w:rPr>
                <w:rFonts w:hint="eastAsia" w:ascii="宋体" w:hAnsi="宋体" w:eastAsia="宋体" w:cs="宋体"/>
                <w:b/>
                <w:bCs/>
                <w:kern w:val="2"/>
                <w:sz w:val="21"/>
                <w:szCs w:val="24"/>
                <w:highlight w:val="none"/>
                <w:lang w:val="en-US" w:eastAsia="zh-CN" w:bidi="ar-SA"/>
              </w:rPr>
              <w:t>（提供承诺书）</w:t>
            </w:r>
          </w:p>
          <w:p>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highlight w:val="none"/>
                <w:lang w:val="en-US" w:eastAsia="zh-CN"/>
              </w:rPr>
            </w:pPr>
            <w:r>
              <w:rPr>
                <w:rFonts w:hint="eastAsia" w:ascii="Times New Roman" w:hAnsi="Times New Roman" w:eastAsia="宋体" w:cs="Times New Roman"/>
                <w:highlight w:val="none"/>
              </w:rPr>
              <w:t>★</w:t>
            </w:r>
            <w:r>
              <w:rPr>
                <w:rFonts w:hint="eastAsia" w:ascii="宋体" w:hAnsi="宋体" w:eastAsia="宋体" w:cs="宋体"/>
                <w:highlight w:val="none"/>
                <w:lang w:val="en-US" w:eastAsia="zh-CN"/>
              </w:rPr>
              <w:t>5、地面处理：</w:t>
            </w:r>
            <w:r>
              <w:rPr>
                <w:rFonts w:hint="eastAsia" w:ascii="宋体" w:hAnsi="宋体" w:eastAsia="宋体" w:cs="宋体"/>
                <w:highlight w:val="none"/>
              </w:rPr>
              <w:t>≥</w:t>
            </w:r>
            <w:r>
              <w:rPr>
                <w:rFonts w:hint="eastAsia" w:ascii="宋体" w:hAnsi="宋体" w:eastAsia="宋体" w:cs="宋体"/>
                <w:highlight w:val="none"/>
                <w:lang w:val="en-US" w:eastAsia="zh-CN"/>
              </w:rPr>
              <w:t>5cm混凝土+</w:t>
            </w:r>
            <w:r>
              <w:rPr>
                <w:rFonts w:hint="eastAsia" w:ascii="宋体" w:hAnsi="宋体" w:eastAsia="宋体" w:cs="宋体"/>
                <w:highlight w:val="none"/>
              </w:rPr>
              <w:t>≥</w:t>
            </w:r>
            <w:r>
              <w:rPr>
                <w:rFonts w:hint="eastAsia" w:ascii="宋体" w:hAnsi="宋体" w:eastAsia="宋体" w:cs="宋体"/>
                <w:highlight w:val="none"/>
                <w:lang w:val="en-US" w:eastAsia="zh-CN"/>
              </w:rPr>
              <w:t>5cm防滑瓷砖</w:t>
            </w:r>
            <w:r>
              <w:rPr>
                <w:rFonts w:hint="eastAsia" w:ascii="宋体" w:hAnsi="宋体" w:eastAsia="宋体" w:cs="宋体"/>
                <w:b/>
                <w:bCs/>
                <w:highlight w:val="none"/>
                <w:lang w:eastAsia="zh-CN"/>
              </w:rPr>
              <w:t>（</w:t>
            </w:r>
            <w:r>
              <w:rPr>
                <w:rFonts w:hint="eastAsia" w:ascii="宋体" w:hAnsi="宋体" w:eastAsia="宋体" w:cs="宋体"/>
                <w:b/>
                <w:bCs/>
                <w:highlight w:val="none"/>
                <w:lang w:val="en-US" w:eastAsia="zh-CN"/>
              </w:rPr>
              <w:t>提供承诺书</w:t>
            </w:r>
            <w:r>
              <w:rPr>
                <w:rFonts w:hint="eastAsia" w:ascii="宋体" w:hAnsi="宋体" w:eastAsia="宋体" w:cs="宋体"/>
                <w:b/>
                <w:bCs/>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051" w:hRule="atLeast"/>
          <w:jc w:val="center"/>
        </w:trPr>
        <w:tc>
          <w:tcPr>
            <w:tcW w:w="281"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w:t>
            </w:r>
          </w:p>
        </w:tc>
        <w:tc>
          <w:tcPr>
            <w:tcW w:w="485"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Cs w:val="21"/>
                <w:highlight w:val="none"/>
              </w:rPr>
            </w:pPr>
            <w:r>
              <w:rPr>
                <w:rFonts w:hint="eastAsia" w:ascii="Times New Roman" w:hAnsi="Times New Roman" w:eastAsia="宋体" w:cs="Times New Roman"/>
                <w:kern w:val="2"/>
                <w:sz w:val="21"/>
                <w:szCs w:val="24"/>
                <w:highlight w:val="none"/>
                <w:lang w:val="en-US" w:eastAsia="zh-CN" w:bidi="ar-SA"/>
              </w:rPr>
              <w:t>冷藏库库体含门1</w:t>
            </w:r>
          </w:p>
        </w:tc>
        <w:tc>
          <w:tcPr>
            <w:tcW w:w="4232"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同“</w:t>
            </w:r>
            <w:r>
              <w:rPr>
                <w:rFonts w:hint="eastAsia" w:ascii="宋体" w:hAnsi="宋体" w:eastAsia="宋体" w:cs="宋体"/>
                <w:kern w:val="2"/>
                <w:sz w:val="21"/>
                <w:szCs w:val="24"/>
                <w:highlight w:val="none"/>
                <w:lang w:val="en-US" w:eastAsia="zh-CN" w:bidi="ar-SA"/>
              </w:rPr>
              <w:t>保鲜库库体含门1</w:t>
            </w:r>
            <w:r>
              <w:rPr>
                <w:rFonts w:hint="eastAsia" w:ascii="宋体" w:hAnsi="宋体" w:eastAsia="宋体" w:cs="宋体"/>
                <w:highlight w:val="none"/>
                <w:lang w:val="en-US" w:eastAsia="zh-CN"/>
              </w:rPr>
              <w:t>”参数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493" w:hRule="atLeast"/>
          <w:jc w:val="center"/>
        </w:trPr>
        <w:tc>
          <w:tcPr>
            <w:tcW w:w="281"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w:t>
            </w:r>
          </w:p>
        </w:tc>
        <w:tc>
          <w:tcPr>
            <w:tcW w:w="485"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Cs w:val="21"/>
                <w:highlight w:val="none"/>
              </w:rPr>
            </w:pPr>
            <w:r>
              <w:rPr>
                <w:rFonts w:hint="eastAsia" w:ascii="Times New Roman" w:hAnsi="Times New Roman" w:eastAsia="宋体" w:cs="Times New Roman"/>
                <w:kern w:val="2"/>
                <w:sz w:val="21"/>
                <w:szCs w:val="24"/>
                <w:highlight w:val="none"/>
                <w:lang w:val="en-US" w:eastAsia="zh-CN" w:bidi="ar-SA"/>
              </w:rPr>
              <w:t>保鲜库库体含门2</w:t>
            </w:r>
          </w:p>
        </w:tc>
        <w:tc>
          <w:tcPr>
            <w:tcW w:w="4232"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jc w:val="left"/>
              <w:textAlignment w:val="auto"/>
              <w:rPr>
                <w:rFonts w:hint="eastAsia" w:ascii="宋体" w:hAnsi="宋体" w:eastAsia="宋体" w:cs="宋体"/>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w:t>
            </w:r>
            <w:r>
              <w:rPr>
                <w:rFonts w:hint="eastAsia" w:ascii="宋体" w:hAnsi="宋体" w:eastAsia="宋体" w:cs="宋体"/>
                <w:kern w:val="2"/>
                <w:sz w:val="21"/>
                <w:szCs w:val="24"/>
                <w:highlight w:val="none"/>
                <w:lang w:val="en-US" w:eastAsia="zh-CN" w:bidi="ar-SA"/>
              </w:rPr>
              <w:t>1、规格：5m*1.5*3m（±10cm）</w:t>
            </w:r>
            <w:r>
              <w:rPr>
                <w:rFonts w:hint="eastAsia" w:ascii="宋体" w:hAnsi="宋体" w:eastAsia="宋体" w:cs="宋体"/>
                <w:b/>
                <w:bCs/>
                <w:kern w:val="2"/>
                <w:sz w:val="21"/>
                <w:szCs w:val="24"/>
                <w:highlight w:val="none"/>
                <w:lang w:val="en-US" w:eastAsia="zh-CN" w:bidi="ar-SA"/>
              </w:rPr>
              <w:t>（提供承诺书）</w:t>
            </w:r>
          </w:p>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2、</w:t>
            </w:r>
            <w:r>
              <w:rPr>
                <w:rFonts w:hint="eastAsia" w:ascii="宋体" w:hAnsi="宋体" w:eastAsia="宋体" w:cs="宋体"/>
                <w:highlight w:val="none"/>
              </w:rPr>
              <w:t>冷库门：</w:t>
            </w:r>
            <w:r>
              <w:rPr>
                <w:rFonts w:hint="eastAsia" w:ascii="宋体" w:hAnsi="宋体" w:eastAsia="宋体" w:cs="宋体"/>
                <w:highlight w:val="none"/>
                <w:lang w:val="en-US" w:eastAsia="zh-CN"/>
              </w:rPr>
              <w:t>同“</w:t>
            </w:r>
            <w:r>
              <w:rPr>
                <w:rFonts w:hint="eastAsia" w:ascii="宋体" w:hAnsi="宋体" w:eastAsia="宋体" w:cs="宋体"/>
                <w:kern w:val="2"/>
                <w:sz w:val="21"/>
                <w:szCs w:val="24"/>
                <w:highlight w:val="none"/>
                <w:lang w:val="en-US" w:eastAsia="zh-CN" w:bidi="ar-SA"/>
              </w:rPr>
              <w:t>保鲜库库体含门1</w:t>
            </w:r>
            <w:r>
              <w:rPr>
                <w:rFonts w:hint="eastAsia" w:ascii="宋体" w:hAnsi="宋体" w:eastAsia="宋体" w:cs="宋体"/>
                <w:highlight w:val="none"/>
                <w:lang w:val="en-US" w:eastAsia="zh-CN"/>
              </w:rPr>
              <w:t>”参数要求</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3、库体保温层：同“保鲜库库体含门1”参数要求</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4、地面保温：同“保鲜库库体含门1”参数要求</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5、地面处理：同“保鲜库库体含门1”参数要求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931" w:hRule="atLeast"/>
          <w:jc w:val="center"/>
        </w:trPr>
        <w:tc>
          <w:tcPr>
            <w:tcW w:w="281"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w:t>
            </w:r>
          </w:p>
        </w:tc>
        <w:tc>
          <w:tcPr>
            <w:tcW w:w="485"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Cs w:val="21"/>
                <w:highlight w:val="none"/>
              </w:rPr>
            </w:pPr>
            <w:r>
              <w:rPr>
                <w:rFonts w:hint="eastAsia" w:ascii="Times New Roman" w:hAnsi="Times New Roman" w:eastAsia="宋体" w:cs="Times New Roman"/>
                <w:kern w:val="2"/>
                <w:sz w:val="21"/>
                <w:szCs w:val="24"/>
                <w:highlight w:val="none"/>
                <w:lang w:val="en-US" w:eastAsia="zh-CN" w:bidi="ar-SA"/>
              </w:rPr>
              <w:t>冷藏库库体含门2</w:t>
            </w:r>
          </w:p>
        </w:tc>
        <w:tc>
          <w:tcPr>
            <w:tcW w:w="4232"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jc w:val="left"/>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同“保鲜库库体含门2”参数要求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493" w:hRule="atLeast"/>
          <w:jc w:val="center"/>
        </w:trPr>
        <w:tc>
          <w:tcPr>
            <w:tcW w:w="281"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5</w:t>
            </w:r>
          </w:p>
        </w:tc>
        <w:tc>
          <w:tcPr>
            <w:tcW w:w="485"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Cs w:val="21"/>
                <w:highlight w:val="none"/>
              </w:rPr>
            </w:pPr>
            <w:r>
              <w:rPr>
                <w:rFonts w:hint="eastAsia" w:ascii="Times New Roman" w:hAnsi="Times New Roman" w:eastAsia="宋体" w:cs="Times New Roman"/>
                <w:kern w:val="2"/>
                <w:sz w:val="21"/>
                <w:szCs w:val="24"/>
                <w:highlight w:val="none"/>
                <w:lang w:val="en-US" w:eastAsia="zh-CN" w:bidi="ar-SA"/>
              </w:rPr>
              <w:t>保鲜库库体含门3</w:t>
            </w:r>
          </w:p>
        </w:tc>
        <w:tc>
          <w:tcPr>
            <w:tcW w:w="4232"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jc w:val="left"/>
              <w:textAlignment w:val="auto"/>
              <w:rPr>
                <w:rFonts w:hint="eastAsia" w:ascii="宋体" w:hAnsi="宋体" w:eastAsia="宋体" w:cs="宋体"/>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w:t>
            </w:r>
            <w:r>
              <w:rPr>
                <w:rFonts w:hint="eastAsia" w:ascii="宋体" w:hAnsi="宋体" w:eastAsia="宋体" w:cs="宋体"/>
                <w:kern w:val="2"/>
                <w:sz w:val="21"/>
                <w:szCs w:val="24"/>
                <w:highlight w:val="none"/>
                <w:lang w:val="en-US" w:eastAsia="zh-CN" w:bidi="ar-SA"/>
              </w:rPr>
              <w:t>1、规格：3.5m*1.8m*2.6m（±10cm）</w:t>
            </w:r>
            <w:r>
              <w:rPr>
                <w:rFonts w:hint="eastAsia" w:ascii="宋体" w:hAnsi="宋体" w:eastAsia="宋体" w:cs="宋体"/>
                <w:b/>
                <w:bCs/>
                <w:kern w:val="2"/>
                <w:sz w:val="21"/>
                <w:szCs w:val="24"/>
                <w:highlight w:val="none"/>
                <w:lang w:val="en-US" w:eastAsia="zh-CN" w:bidi="ar-SA"/>
              </w:rPr>
              <w:t>（提供承诺书）</w:t>
            </w:r>
          </w:p>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2、</w:t>
            </w:r>
            <w:r>
              <w:rPr>
                <w:rFonts w:hint="eastAsia" w:ascii="宋体" w:hAnsi="宋体" w:eastAsia="宋体" w:cs="宋体"/>
                <w:highlight w:val="none"/>
              </w:rPr>
              <w:t>冷库门：</w:t>
            </w:r>
            <w:r>
              <w:rPr>
                <w:rFonts w:hint="eastAsia" w:ascii="宋体" w:hAnsi="宋体" w:eastAsia="宋体" w:cs="宋体"/>
                <w:highlight w:val="none"/>
                <w:lang w:val="en-US" w:eastAsia="zh-CN"/>
              </w:rPr>
              <w:t>同“</w:t>
            </w:r>
            <w:r>
              <w:rPr>
                <w:rFonts w:hint="eastAsia" w:ascii="宋体" w:hAnsi="宋体" w:eastAsia="宋体" w:cs="宋体"/>
                <w:kern w:val="2"/>
                <w:sz w:val="21"/>
                <w:szCs w:val="24"/>
                <w:highlight w:val="none"/>
                <w:lang w:val="en-US" w:eastAsia="zh-CN" w:bidi="ar-SA"/>
              </w:rPr>
              <w:t>保鲜库库体含门1</w:t>
            </w:r>
            <w:r>
              <w:rPr>
                <w:rFonts w:hint="eastAsia" w:ascii="宋体" w:hAnsi="宋体" w:eastAsia="宋体" w:cs="宋体"/>
                <w:highlight w:val="none"/>
                <w:lang w:val="en-US" w:eastAsia="zh-CN"/>
              </w:rPr>
              <w:t>”参数要求</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3、库体保温层：同“保鲜库库体含门1”参数要求</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4、地面保温：同“保鲜库库体含门1”参数要求</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5、地面处理：同“保鲜库库体含门1”参数要求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135" w:hRule="atLeast"/>
          <w:jc w:val="center"/>
        </w:trPr>
        <w:tc>
          <w:tcPr>
            <w:tcW w:w="281"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6</w:t>
            </w:r>
          </w:p>
        </w:tc>
        <w:tc>
          <w:tcPr>
            <w:tcW w:w="485"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Cs w:val="21"/>
                <w:highlight w:val="none"/>
              </w:rPr>
            </w:pPr>
            <w:r>
              <w:rPr>
                <w:rFonts w:hint="eastAsia" w:ascii="Times New Roman" w:hAnsi="Times New Roman" w:eastAsia="宋体" w:cs="Times New Roman"/>
                <w:kern w:val="2"/>
                <w:sz w:val="21"/>
                <w:szCs w:val="24"/>
                <w:highlight w:val="none"/>
                <w:lang w:val="en-US" w:eastAsia="zh-CN" w:bidi="ar-SA"/>
              </w:rPr>
              <w:t>冷藏库库体含门3</w:t>
            </w:r>
          </w:p>
        </w:tc>
        <w:tc>
          <w:tcPr>
            <w:tcW w:w="4232" w:type="pct"/>
            <w:vAlign w:val="center"/>
          </w:tcPr>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同“保鲜库库体含门3”参数要求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493" w:hRule="atLeast"/>
          <w:jc w:val="center"/>
        </w:trPr>
        <w:tc>
          <w:tcPr>
            <w:tcW w:w="281"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7</w:t>
            </w:r>
          </w:p>
        </w:tc>
        <w:tc>
          <w:tcPr>
            <w:tcW w:w="485"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Cs w:val="21"/>
                <w:highlight w:val="none"/>
              </w:rPr>
            </w:pPr>
            <w:r>
              <w:rPr>
                <w:rFonts w:hint="eastAsia" w:ascii="Times New Roman" w:hAnsi="Times New Roman" w:eastAsia="宋体" w:cs="Times New Roman"/>
                <w:kern w:val="2"/>
                <w:sz w:val="21"/>
                <w:szCs w:val="24"/>
                <w:highlight w:val="none"/>
                <w:lang w:val="en-US" w:eastAsia="zh-CN" w:bidi="ar-SA"/>
              </w:rPr>
              <w:t>保鲜库4</w:t>
            </w:r>
          </w:p>
        </w:tc>
        <w:tc>
          <w:tcPr>
            <w:tcW w:w="4232"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jc w:val="left"/>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★1、规格：5m*1.6m*3m（±10cm）</w:t>
            </w:r>
            <w:r>
              <w:rPr>
                <w:rFonts w:hint="eastAsia" w:ascii="宋体" w:hAnsi="宋体" w:eastAsia="宋体" w:cs="宋体"/>
                <w:b/>
                <w:bCs/>
                <w:kern w:val="2"/>
                <w:sz w:val="21"/>
                <w:szCs w:val="24"/>
                <w:highlight w:val="none"/>
                <w:lang w:val="en-US" w:eastAsia="zh-CN" w:bidi="ar-SA"/>
              </w:rPr>
              <w:t>（提供承诺书）</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2、库体保温：</w:t>
            </w:r>
            <w:r>
              <w:rPr>
                <w:rFonts w:hint="eastAsia" w:ascii="宋体" w:hAnsi="宋体" w:eastAsia="宋体" w:cs="宋体"/>
                <w:kern w:val="2"/>
                <w:sz w:val="21"/>
                <w:szCs w:val="24"/>
                <w:highlight w:val="none"/>
                <w:lang w:val="en-US" w:eastAsia="zh-CN" w:bidi="ar-SA"/>
              </w:rPr>
              <w:t>同“保鲜库库体含门1”参数要求</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3、地面保温：</w:t>
            </w:r>
            <w:r>
              <w:rPr>
                <w:rFonts w:hint="eastAsia" w:ascii="宋体" w:hAnsi="宋体" w:eastAsia="宋体" w:cs="宋体"/>
                <w:kern w:val="2"/>
                <w:sz w:val="21"/>
                <w:szCs w:val="24"/>
                <w:highlight w:val="none"/>
                <w:lang w:val="en-US" w:eastAsia="zh-CN" w:bidi="ar-SA"/>
              </w:rPr>
              <w:t>同“保鲜库库体含门1”参数要求</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4、地面防护</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▲（1）≥100mm厚现浇地面加钢筋，</w:t>
            </w:r>
            <w:r>
              <w:rPr>
                <w:rFonts w:hint="eastAsia" w:ascii="宋体" w:hAnsi="宋体" w:eastAsia="宋体" w:cs="宋体"/>
                <w:b/>
                <w:bCs/>
                <w:kern w:val="2"/>
                <w:sz w:val="21"/>
                <w:szCs w:val="24"/>
                <w:highlight w:val="none"/>
                <w:lang w:val="en-US" w:eastAsia="zh-CN" w:bidi="ar-SA"/>
              </w:rPr>
              <w:t>（提供承诺书）</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▲（2）加铺瓷砖，≥10mm，瓷砖接缝需做防霉处理；</w:t>
            </w:r>
            <w:r>
              <w:rPr>
                <w:rFonts w:hint="eastAsia" w:ascii="宋体" w:hAnsi="宋体" w:eastAsia="宋体" w:cs="宋体"/>
                <w:b/>
                <w:bCs/>
                <w:kern w:val="2"/>
                <w:sz w:val="21"/>
                <w:szCs w:val="24"/>
                <w:highlight w:val="none"/>
                <w:lang w:val="en-US" w:eastAsia="zh-CN" w:bidi="ar-SA"/>
              </w:rPr>
              <w:t>（提供承诺书）</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宋体" w:hAnsi="宋体" w:eastAsia="宋体" w:cs="宋体"/>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5、冷库门：</w:t>
            </w:r>
            <w:r>
              <w:rPr>
                <w:rFonts w:hint="eastAsia" w:ascii="宋体" w:hAnsi="宋体" w:eastAsia="宋体" w:cs="宋体"/>
                <w:kern w:val="2"/>
                <w:sz w:val="21"/>
                <w:szCs w:val="24"/>
                <w:highlight w:val="none"/>
                <w:lang w:val="en-US" w:eastAsia="zh-CN" w:bidi="ar-SA"/>
              </w:rPr>
              <w:t>同“保鲜库库体含门1”参数要求</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6、门外配套风幕机：</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▲（1）风速≥20m/s，</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▲（2）风量≥1250 m h，</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（3）功率≥0.75/1.1 KW,</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7、需配平衡窗（带过滤网）；</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8、冷库照明：LED冷光灯，低温冷库专用；</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9、制冷主机：风冷箱式一体机，</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★（1）具备国家强制节能证书；</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（2）冷藏库采用涡旋式压缩机，</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（3）主机电源：308V/3相/50HZ，</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（4）运行最大电流≥8.0A，</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▲（5）冷量≥5820W，</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▲（6）功率≥2240W。</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10、冷风机：</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（1）电加热化霜和电机保护符合《GB/T 23333-2024 蒸发式冷风扇》的要求，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▲（2）冷藏库风机冷却量≥8300W，</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▲（3）冷却面积≥40㎡，</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▲（4）功率≥2*180W，</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▲（5）风量≥2*3920m³/h，</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（6）射程≥10m；</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11、电磁阀：</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（1）满足电磁阀通用技术要求《JB/T 7223-2011》；</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（2）线圈电流类型：AC/DC，</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（3）介质温度-40-10℃，</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▲（4）工作压力最大≥42bar.</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12、膨胀阀：</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（1）满足制冷用热力膨胀阀标准《‌JB/T3548-1991》‌；</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（2）温度范围-40-10℃，</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（3）膨胀阀的容量必须与制冷系统的额定制冷量相匹配。</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13、制冷管路：</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▲（1）材质：紫铜管，铜含量≧99.9%，</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▲（2）壁厚≥1.2mm；</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▲（3）抗拉强度≧.275MPA。</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14、管道保温层：</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b/>
                <w:bCs/>
                <w:kern w:val="2"/>
                <w:sz w:val="21"/>
                <w:szCs w:val="24"/>
                <w:highlight w:val="none"/>
                <w:lang w:val="en-US" w:eastAsia="zh-CN" w:bidi="ar-SA"/>
              </w:rPr>
            </w:pPr>
            <w:r>
              <w:rPr>
                <w:rFonts w:hint="eastAsia" w:ascii="Times New Roman" w:hAnsi="Times New Roman" w:eastAsia="宋体" w:cs="Times New Roman"/>
                <w:b/>
                <w:bCs/>
                <w:kern w:val="2"/>
                <w:sz w:val="21"/>
                <w:szCs w:val="24"/>
                <w:highlight w:val="none"/>
                <w:lang w:val="en-US" w:eastAsia="zh-CN" w:bidi="ar-SA"/>
              </w:rPr>
              <w:t>★（1）保温管厚度≥20mm，阻燃等级不低于B1级</w:t>
            </w:r>
            <w:r>
              <w:rPr>
                <w:rFonts w:hint="eastAsia" w:ascii="宋体" w:hAnsi="宋体" w:eastAsia="宋体" w:cs="宋体"/>
                <w:b/>
                <w:bCs/>
                <w:kern w:val="2"/>
                <w:sz w:val="21"/>
                <w:szCs w:val="24"/>
                <w:highlight w:val="none"/>
                <w:lang w:val="en-US" w:eastAsia="zh-CN" w:bidi="ar-SA"/>
              </w:rPr>
              <w:t>（即：可燃性实验：60s内焰尖高度Fs&lt;150 mm，60s内无燃烧滴落物引燃滤纸现象；单体燃烧实验：燃烧增长速率指数FIGRA0.4MJ≤250 W/s，火焰横向蔓延未到达试样长翼边缘，600s的总放热量 THR600s&lt;15 MJ）</w:t>
            </w:r>
            <w:r>
              <w:rPr>
                <w:rFonts w:hint="eastAsia" w:ascii="Times New Roman" w:hAnsi="Times New Roman" w:eastAsia="宋体" w:cs="Times New Roman"/>
                <w:b/>
                <w:bCs/>
                <w:kern w:val="2"/>
                <w:sz w:val="21"/>
                <w:szCs w:val="24"/>
                <w:highlight w:val="none"/>
                <w:lang w:val="en-US" w:eastAsia="zh-CN" w:bidi="ar-SA"/>
              </w:rPr>
              <w:t>。（提供管道的材料检测报告；检测标准：GB 8624-2012《建筑材料及制品燃烧性能分级》）</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（2）材质：橡塑，</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（3）表观密度≥1.2KG/m³。</w:t>
            </w:r>
          </w:p>
          <w:p>
            <w:pPr>
              <w:keepNext w:val="0"/>
              <w:keepLines w:val="0"/>
              <w:pageBreakBefore w:val="0"/>
              <w:widowControl w:val="0"/>
              <w:numPr>
                <w:ilvl w:val="0"/>
                <w:numId w:val="0"/>
              </w:numPr>
              <w:kinsoku/>
              <w:wordWrap/>
              <w:overflowPunct/>
              <w:topLinePunct w:val="0"/>
              <w:autoSpaceDE/>
              <w:autoSpaceDN/>
              <w:bidi w:val="0"/>
              <w:adjustRightInd w:val="0"/>
              <w:snapToGrid w:val="0"/>
              <w:ind w:leftChars="0"/>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15、</w:t>
            </w:r>
            <w:r>
              <w:rPr>
                <w:rFonts w:hint="eastAsia" w:ascii="Times New Roman" w:hAnsi="Times New Roman" w:eastAsia="宋体" w:cs="Times New Roman"/>
                <w:highlight w:val="none"/>
              </w:rPr>
              <w:t>电控系统：</w:t>
            </w:r>
          </w:p>
          <w:p>
            <w:pPr>
              <w:keepNext w:val="0"/>
              <w:keepLines w:val="0"/>
              <w:pageBreakBefore w:val="0"/>
              <w:widowControl w:val="0"/>
              <w:numPr>
                <w:ilvl w:val="0"/>
                <w:numId w:val="0"/>
              </w:numPr>
              <w:kinsoku/>
              <w:wordWrap/>
              <w:overflowPunct/>
              <w:topLinePunct w:val="0"/>
              <w:autoSpaceDE/>
              <w:autoSpaceDN/>
              <w:bidi w:val="0"/>
              <w:adjustRightInd w:val="0"/>
              <w:snapToGrid w:val="0"/>
              <w:ind w:leftChars="0"/>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1</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电压</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380 V，</w:t>
            </w:r>
          </w:p>
          <w:p>
            <w:pPr>
              <w:keepNext w:val="0"/>
              <w:keepLines w:val="0"/>
              <w:pageBreakBefore w:val="0"/>
              <w:widowControl w:val="0"/>
              <w:numPr>
                <w:ilvl w:val="0"/>
                <w:numId w:val="0"/>
              </w:numPr>
              <w:kinsoku/>
              <w:wordWrap/>
              <w:overflowPunct/>
              <w:topLinePunct w:val="0"/>
              <w:autoSpaceDE/>
              <w:autoSpaceDN/>
              <w:bidi w:val="0"/>
              <w:adjustRightInd w:val="0"/>
              <w:snapToGrid w:val="0"/>
              <w:ind w:leftChars="0"/>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2</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频率</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50HZ，</w:t>
            </w:r>
          </w:p>
          <w:p>
            <w:pPr>
              <w:keepNext w:val="0"/>
              <w:keepLines w:val="0"/>
              <w:pageBreakBefore w:val="0"/>
              <w:widowControl w:val="0"/>
              <w:numPr>
                <w:ilvl w:val="0"/>
                <w:numId w:val="0"/>
              </w:numPr>
              <w:kinsoku/>
              <w:wordWrap/>
              <w:overflowPunct/>
              <w:topLinePunct w:val="0"/>
              <w:autoSpaceDE/>
              <w:autoSpaceDN/>
              <w:bidi w:val="0"/>
              <w:adjustRightInd w:val="0"/>
              <w:snapToGrid w:val="0"/>
              <w:ind w:leftChars="0"/>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3</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温度范围</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-50℃-50℃，</w:t>
            </w:r>
          </w:p>
          <w:p>
            <w:pPr>
              <w:keepNext w:val="0"/>
              <w:keepLines w:val="0"/>
              <w:pageBreakBefore w:val="0"/>
              <w:widowControl w:val="0"/>
              <w:numPr>
                <w:ilvl w:val="0"/>
                <w:numId w:val="0"/>
              </w:numPr>
              <w:kinsoku/>
              <w:wordWrap/>
              <w:overflowPunct/>
              <w:topLinePunct w:val="0"/>
              <w:autoSpaceDE/>
              <w:autoSpaceDN/>
              <w:bidi w:val="0"/>
              <w:adjustRightInd w:val="0"/>
              <w:snapToGrid w:val="0"/>
              <w:ind w:leftChars="0"/>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4</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测温精度</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±1℃。</w:t>
            </w:r>
          </w:p>
          <w:p>
            <w:pPr>
              <w:keepNext w:val="0"/>
              <w:keepLines w:val="0"/>
              <w:pageBreakBefore w:val="0"/>
              <w:widowControl w:val="0"/>
              <w:numPr>
                <w:ilvl w:val="0"/>
                <w:numId w:val="0"/>
              </w:numPr>
              <w:kinsoku/>
              <w:wordWrap/>
              <w:overflowPunct/>
              <w:topLinePunct w:val="0"/>
              <w:autoSpaceDE/>
              <w:autoSpaceDN/>
              <w:bidi w:val="0"/>
              <w:adjustRightInd w:val="0"/>
              <w:snapToGrid w:val="0"/>
              <w:ind w:leftChars="0"/>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5</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全自动微电脑控制箱，</w:t>
            </w:r>
          </w:p>
          <w:p>
            <w:pPr>
              <w:keepNext w:val="0"/>
              <w:keepLines w:val="0"/>
              <w:pageBreakBefore w:val="0"/>
              <w:widowControl w:val="0"/>
              <w:numPr>
                <w:ilvl w:val="0"/>
                <w:numId w:val="0"/>
              </w:numPr>
              <w:kinsoku/>
              <w:wordWrap/>
              <w:overflowPunct/>
              <w:topLinePunct w:val="0"/>
              <w:autoSpaceDE/>
              <w:autoSpaceDN/>
              <w:bidi w:val="0"/>
              <w:adjustRightInd w:val="0"/>
              <w:snapToGrid w:val="0"/>
              <w:ind w:leftChars="0"/>
              <w:textAlignment w:val="auto"/>
              <w:rPr>
                <w:rFonts w:ascii="Times New Roman" w:hAnsi="Times New Roman" w:eastAsia="宋体" w:cs="Times New Roman"/>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6</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功能：制冷、化霜，保护：化霜、相序保护、过载保护及其他常规保护；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773" w:hRule="atLeast"/>
          <w:jc w:val="center"/>
        </w:trPr>
        <w:tc>
          <w:tcPr>
            <w:tcW w:w="281"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w:t>
            </w:r>
          </w:p>
        </w:tc>
        <w:tc>
          <w:tcPr>
            <w:tcW w:w="485"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Cs w:val="21"/>
                <w:highlight w:val="none"/>
              </w:rPr>
            </w:pPr>
            <w:r>
              <w:rPr>
                <w:rFonts w:hint="eastAsia" w:ascii="Times New Roman" w:hAnsi="Times New Roman" w:eastAsia="宋体" w:cs="Times New Roman"/>
                <w:kern w:val="2"/>
                <w:sz w:val="21"/>
                <w:szCs w:val="24"/>
                <w:highlight w:val="none"/>
                <w:lang w:val="en-US" w:eastAsia="zh-CN" w:bidi="ar-SA"/>
              </w:rPr>
              <w:t>冷藏库4</w:t>
            </w:r>
          </w:p>
        </w:tc>
        <w:tc>
          <w:tcPr>
            <w:tcW w:w="4232"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jc w:val="left"/>
              <w:textAlignment w:val="auto"/>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1、规格：同“保鲜库4”参数要求</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2、库体保温：同“保鲜库4”参数要求</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3、地面保温：同“保鲜库4”参数要求</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4、地面防护：同“保鲜库4”参数要求</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5、冷库门：同“保鲜库4”参数要求</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6、门外配套风幕机：同“保鲜库4”参数要求</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7、需配平衡窗（带过滤网）；</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8、冷库照明：LED冷光灯，低温冷库专用；</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9、制冷主机：风冷箱式一体机，</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★（1）具备国家强制节能证书；</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（2）冷藏库采用涡旋式压缩机，</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（3）主机电源：308V/3相/50HZ，</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▲（4）运行最大电流≥7.5A，</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▲（5）冷量≥3820W，</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▲（6）功率≥2430W。</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10、冷风机：</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（1）电加热化霜和电机保护符合安全规范，；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▲（2）冷藏库风机冷却量≥6000W，</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▲（3）冷却面积≥30㎡，</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▲（4）功率≥2*180W，</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▲（5）风量≥2*3920m³/h，</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（6）射程≥10m；</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11、电磁阀：同“保鲜库4”参数要求</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12、膨胀阀：同“保鲜库4”参数要求</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13、制冷管路：同“保鲜库4”参数要求</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14、管道保温层：同“保鲜库4”参数要求</w:t>
            </w:r>
          </w:p>
          <w:p>
            <w:pPr>
              <w:keepNext w:val="0"/>
              <w:keepLines w:val="0"/>
              <w:pageBreakBefore w:val="0"/>
              <w:widowControl w:val="0"/>
              <w:numPr>
                <w:ilvl w:val="0"/>
                <w:numId w:val="0"/>
              </w:numPr>
              <w:kinsoku/>
              <w:wordWrap/>
              <w:overflowPunct/>
              <w:topLinePunct w:val="0"/>
              <w:autoSpaceDE/>
              <w:autoSpaceDN/>
              <w:bidi w:val="0"/>
              <w:adjustRightInd w:val="0"/>
              <w:snapToGrid w:val="0"/>
              <w:ind w:leftChars="0"/>
              <w:textAlignment w:val="auto"/>
              <w:rPr>
                <w:rFonts w:ascii="Times New Roman" w:hAnsi="Times New Roman" w:eastAsia="宋体" w:cs="Times New Roman"/>
                <w:highlight w:val="none"/>
              </w:rPr>
            </w:pPr>
            <w:r>
              <w:rPr>
                <w:rFonts w:hint="eastAsia" w:ascii="Times New Roman" w:hAnsi="Times New Roman" w:eastAsia="宋体" w:cs="Times New Roman"/>
                <w:highlight w:val="none"/>
                <w:lang w:val="en-US" w:eastAsia="zh-CN"/>
              </w:rPr>
              <w:t>15、</w:t>
            </w:r>
            <w:r>
              <w:rPr>
                <w:rFonts w:hint="eastAsia" w:ascii="Times New Roman" w:hAnsi="Times New Roman" w:eastAsia="宋体" w:cs="Times New Roman"/>
                <w:highlight w:val="none"/>
              </w:rPr>
              <w:t>电控系统：</w:t>
            </w:r>
            <w:r>
              <w:rPr>
                <w:rFonts w:hint="eastAsia" w:ascii="Times New Roman" w:hAnsi="Times New Roman" w:eastAsia="宋体" w:cs="Times New Roman"/>
                <w:highlight w:val="none"/>
                <w:lang w:val="en-US" w:eastAsia="zh-CN"/>
              </w:rPr>
              <w:t>同“</w:t>
            </w:r>
            <w:r>
              <w:rPr>
                <w:rFonts w:hint="eastAsia" w:ascii="Times New Roman" w:hAnsi="Times New Roman" w:eastAsia="宋体" w:cs="Times New Roman"/>
                <w:kern w:val="2"/>
                <w:sz w:val="21"/>
                <w:szCs w:val="24"/>
                <w:highlight w:val="none"/>
                <w:lang w:val="en-US" w:eastAsia="zh-CN" w:bidi="ar-SA"/>
              </w:rPr>
              <w:t>保鲜库4</w:t>
            </w:r>
            <w:r>
              <w:rPr>
                <w:rFonts w:hint="eastAsia" w:ascii="Times New Roman" w:hAnsi="Times New Roman" w:eastAsia="宋体" w:cs="Times New Roman"/>
                <w:highlight w:val="none"/>
                <w:lang w:val="en-US" w:eastAsia="zh-CN"/>
              </w:rPr>
              <w:t>”参数要求</w:t>
            </w:r>
          </w:p>
        </w:tc>
      </w:tr>
    </w:tbl>
    <w:p>
      <w:pPr>
        <w:keepNext w:val="0"/>
        <w:keepLines w:val="0"/>
        <w:pageBreakBefore w:val="0"/>
        <w:widowControl w:val="0"/>
        <w:kinsoku/>
        <w:wordWrap/>
        <w:overflowPunct/>
        <w:topLinePunct w:val="0"/>
        <w:autoSpaceDE/>
        <w:autoSpaceDN/>
        <w:bidi w:val="0"/>
        <w:adjustRightInd w:val="0"/>
        <w:snapToGrid w:val="0"/>
        <w:jc w:val="left"/>
        <w:textAlignment w:val="auto"/>
        <w:rPr>
          <w:rFonts w:ascii="宋体" w:hAnsi="宋体" w:eastAsia="宋体" w:cs="宋体"/>
          <w:b/>
          <w:bCs/>
          <w:kern w:val="0"/>
          <w:szCs w:val="21"/>
          <w:highlight w:val="none"/>
        </w:rPr>
      </w:pPr>
      <w:r>
        <w:rPr>
          <w:rFonts w:hint="eastAsia" w:ascii="宋体" w:hAnsi="宋体" w:eastAsia="宋体" w:cs="宋体"/>
          <w:b/>
          <w:bCs/>
          <w:kern w:val="0"/>
          <w:szCs w:val="21"/>
          <w:highlight w:val="none"/>
        </w:rPr>
        <w:t>备注：</w:t>
      </w:r>
    </w:p>
    <w:p>
      <w:pPr>
        <w:keepNext w:val="0"/>
        <w:keepLines w:val="0"/>
        <w:pageBreakBefore w:val="0"/>
        <w:widowControl w:val="0"/>
        <w:kinsoku/>
        <w:wordWrap/>
        <w:overflowPunct/>
        <w:topLinePunct w:val="0"/>
        <w:autoSpaceDE/>
        <w:autoSpaceDN/>
        <w:bidi w:val="0"/>
        <w:adjustRightInd w:val="0"/>
        <w:snapToGrid w:val="0"/>
        <w:ind w:firstLine="422" w:firstLineChars="200"/>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1．上述标注“★”的技术参数要求（技术指标）为必须满足的实质性要求，投标人需根据所投产品实际情况，在其投标文件中提供相应的证明材料（技术资料）进行响应（若该指标允许提供承诺书进行响应，也可以提供承诺书），证明材料（技术资料）或招标文件要求提供承诺书的相应指标不满足标注“★”技术指标的，作无效投标处理。标注“▲”的技术指标和未标注“★”或“▲”的技术指标（简称“无标识指标”）为打分项。对标▲号的所有指标的响应，投标人应在其投标文件中按要求提供证明材料（技术资料）或招标文件要求的承诺书作为证明材料，未提供或未按要求提供或虽提供了承诺书但不满足相关要求的，均视为不满足该功能项要求；无标识指标的响应除本招标文件另有相应要求的，应该按要求提供外，未作特别要求的，投标人在其投标文件中可以提供证明材料（技术资料），也可提供承诺（书作为证明材料，未提供或未按要求提供或虽提供了承诺书但不满足相关要求的，均视为不满足该功能项要求。</w:t>
      </w:r>
    </w:p>
    <w:p>
      <w:pPr>
        <w:keepNext w:val="0"/>
        <w:keepLines w:val="0"/>
        <w:pageBreakBefore w:val="0"/>
        <w:widowControl w:val="0"/>
        <w:kinsoku/>
        <w:wordWrap/>
        <w:overflowPunct/>
        <w:topLinePunct w:val="0"/>
        <w:autoSpaceDE/>
        <w:autoSpaceDN/>
        <w:bidi w:val="0"/>
        <w:adjustRightInd w:val="0"/>
        <w:snapToGrid w:val="0"/>
        <w:ind w:firstLine="422" w:firstLineChars="200"/>
        <w:textAlignment w:val="auto"/>
        <w:rPr>
          <w:rFonts w:ascii="宋体" w:hAnsi="宋体" w:eastAsia="宋体" w:cs="宋体"/>
          <w:b/>
          <w:bCs/>
          <w:szCs w:val="21"/>
          <w:highlight w:val="none"/>
        </w:rPr>
      </w:pPr>
      <w:r>
        <w:rPr>
          <w:rFonts w:hint="eastAsia" w:ascii="宋体" w:hAnsi="宋体" w:eastAsia="宋体" w:cs="宋体"/>
          <w:b/>
          <w:bCs/>
          <w:kern w:val="0"/>
          <w:szCs w:val="21"/>
          <w:highlight w:val="none"/>
        </w:rPr>
        <w:t>2．针对技术参数要求（技术指标）提供证明材料（技术资料）要求：投标人在编制投标文件时应提供所投设备相关技术资料且必须在技术资料中针对上述采购技术指标要求作逐条注明。投标人应提供制造商盖章的技术指标证明材料或制造商提供的含技术指标的产品宣传彩页或者制造商官网的相应技术指标的网页（带网址信息，可复查）截图或所投产品取得国家认可的相关检测资质的第三方机构出具的含相应技术指标的检测报告（另有要求的，从其要求）作为技术资料。投标人提供的所有证明材料（技术资料）须加盖投标人公章；证明材料（技术资料）未提及的指标，视作投标人所投设备的该项指标不满足采购文件要求，未提供技术指标证明材料（技术资料）、或提供的技术指标证明材料（技术资料）不清晰或不满足（满足即：若招标文件中对相关技术指标设置了上限值的，投标人拟投设备的指标应不超过上限值；若招标文件中对相关技术指标设置了下限值的，投标人拟投设备的指标应不低于下限值；若招标文件中对相关技术指标仅为功能性质的描述投标人对该指标响应满足情况的认定以评标委员会评审意见为准）要求的，均视为不满足相关要求</w:t>
      </w:r>
      <w:r>
        <w:rPr>
          <w:rFonts w:hint="eastAsia" w:ascii="宋体" w:hAnsi="宋体" w:eastAsia="宋体" w:cs="宋体"/>
          <w:b/>
          <w:bCs/>
          <w:szCs w:val="21"/>
          <w:highlight w:val="none"/>
        </w:rPr>
        <w:t>。</w:t>
      </w:r>
    </w:p>
    <w:p>
      <w:pPr>
        <w:keepNext w:val="0"/>
        <w:keepLines w:val="0"/>
        <w:pageBreakBefore w:val="0"/>
        <w:widowControl w:val="0"/>
        <w:kinsoku/>
        <w:wordWrap/>
        <w:overflowPunct/>
        <w:topLinePunct w:val="0"/>
        <w:autoSpaceDE/>
        <w:autoSpaceDN/>
        <w:bidi w:val="0"/>
        <w:adjustRightInd w:val="0"/>
        <w:snapToGrid w:val="0"/>
        <w:ind w:firstLine="422" w:firstLineChars="200"/>
        <w:textAlignment w:val="auto"/>
        <w:rPr>
          <w:rFonts w:ascii="宋体" w:hAnsi="宋体" w:eastAsia="宋体" w:cs="宋体"/>
          <w:b/>
          <w:bCs/>
          <w:szCs w:val="21"/>
          <w:highlight w:val="none"/>
        </w:rPr>
      </w:pPr>
    </w:p>
    <w:p>
      <w:pPr>
        <w:adjustRightInd w:val="0"/>
        <w:snapToGrid w:val="0"/>
        <w:spacing w:before="120" w:beforeLines="50" w:line="360" w:lineRule="auto"/>
        <w:outlineLvl w:val="1"/>
        <w:rPr>
          <w:rFonts w:ascii="宋体" w:hAnsi="宋体" w:eastAsia="宋体" w:cs="宋体"/>
          <w:kern w:val="0"/>
          <w:highlight w:val="none"/>
        </w:rPr>
      </w:pPr>
      <w:bookmarkStart w:id="2" w:name="_Toc10633"/>
      <w:r>
        <w:rPr>
          <w:rFonts w:hint="eastAsia" w:ascii="宋体" w:hAnsi="宋体" w:eastAsia="宋体" w:cs="宋体"/>
          <w:b/>
          <w:bCs/>
          <w:highlight w:val="none"/>
        </w:rPr>
        <w:t>三、采购标的需</w:t>
      </w:r>
      <w:r>
        <w:rPr>
          <w:rFonts w:hint="eastAsia" w:ascii="宋体" w:hAnsi="宋体" w:eastAsia="宋体" w:cs="宋体"/>
          <w:b/>
          <w:szCs w:val="21"/>
          <w:highlight w:val="none"/>
        </w:rPr>
        <w:t>执行</w:t>
      </w:r>
      <w:r>
        <w:rPr>
          <w:rFonts w:hint="eastAsia" w:ascii="宋体" w:hAnsi="宋体" w:eastAsia="宋体" w:cs="宋体"/>
          <w:b/>
          <w:bCs/>
          <w:highlight w:val="none"/>
        </w:rPr>
        <w:t>的国家相关标准、行业标准、地方标准或者其他标准、规范</w:t>
      </w:r>
      <w:bookmarkEnd w:id="2"/>
      <w:r>
        <w:rPr>
          <w:rFonts w:hint="eastAsia" w:ascii="宋体" w:hAnsi="宋体" w:eastAsia="宋体" w:cs="宋体"/>
          <w:kern w:val="0"/>
          <w:highlight w:val="none"/>
        </w:rPr>
        <w:t xml:space="preserve"> </w:t>
      </w:r>
    </w:p>
    <w:p>
      <w:pPr>
        <w:adjustRightInd w:val="0"/>
        <w:snapToGrid w:val="0"/>
        <w:spacing w:line="360" w:lineRule="auto"/>
        <w:ind w:left="-283" w:leftChars="-135" w:firstLine="424" w:firstLineChars="202"/>
        <w:rPr>
          <w:rFonts w:ascii="宋体" w:hAnsi="宋体" w:eastAsia="宋体" w:cs="宋体"/>
          <w:kern w:val="0"/>
          <w:szCs w:val="21"/>
          <w:highlight w:val="none"/>
        </w:rPr>
      </w:pPr>
      <w:r>
        <w:rPr>
          <w:rFonts w:hint="eastAsia" w:ascii="宋体" w:hAnsi="宋体" w:eastAsia="宋体" w:cs="宋体"/>
          <w:kern w:val="0"/>
          <w:szCs w:val="21"/>
          <w:highlight w:val="none"/>
        </w:rPr>
        <w:t>1.本项目执行国家标准和安装行业规范要求。</w:t>
      </w:r>
    </w:p>
    <w:p>
      <w:pPr>
        <w:widowControl w:val="0"/>
        <w:spacing w:after="120"/>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GB 50072-2021《冷库设计标准》</w:t>
      </w:r>
    </w:p>
    <w:p>
      <w:pPr>
        <w:widowControl w:val="0"/>
        <w:spacing w:after="120"/>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GB 28009-2011《冷库安全规程》</w:t>
      </w:r>
    </w:p>
    <w:p>
      <w:pPr>
        <w:widowControl w:val="0"/>
        <w:spacing w:after="120"/>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GB 9237-2017《制冷系统及热泵安全与环境要求》</w:t>
      </w:r>
    </w:p>
    <w:p>
      <w:pPr>
        <w:widowControl w:val="0"/>
        <w:spacing w:after="120"/>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GB 50016-2014(2018年版)《建筑设计防火规范》</w:t>
      </w:r>
    </w:p>
    <w:p>
      <w:pPr>
        <w:widowControl w:val="0"/>
        <w:spacing w:after="120"/>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GB/T 30103-2013《冷库门》</w:t>
      </w:r>
    </w:p>
    <w:p>
      <w:pPr>
        <w:widowControl w:val="0"/>
        <w:spacing w:after="120"/>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GB/T 19412-2003《蓄冷空调系统的测试和评价方法》</w:t>
      </w:r>
    </w:p>
    <w:p>
      <w:pPr>
        <w:widowControl w:val="0"/>
        <w:spacing w:after="120"/>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GB 4208-2017《外壳防护等级（IP代码）》</w:t>
      </w:r>
    </w:p>
    <w:p>
      <w:pPr>
        <w:adjustRightInd w:val="0"/>
        <w:snapToGrid w:val="0"/>
        <w:spacing w:line="360" w:lineRule="auto"/>
        <w:ind w:left="-283" w:leftChars="-135" w:firstLine="424" w:firstLineChars="202"/>
        <w:rPr>
          <w:rFonts w:ascii="宋体" w:hAnsi="宋体" w:eastAsia="宋体" w:cs="宋体"/>
          <w:kern w:val="0"/>
          <w:szCs w:val="21"/>
          <w:highlight w:val="none"/>
        </w:rPr>
      </w:pPr>
      <w:r>
        <w:rPr>
          <w:rFonts w:hint="eastAsia" w:ascii="宋体" w:hAnsi="宋体" w:eastAsia="宋体" w:cs="宋体"/>
          <w:kern w:val="0"/>
          <w:szCs w:val="21"/>
          <w:highlight w:val="none"/>
        </w:rPr>
        <w:t>2.投标人应保证所提供的货物是全新的、未使用过的，并完全符合招标文件规定的质量、规格要求。</w:t>
      </w:r>
    </w:p>
    <w:p>
      <w:pPr>
        <w:adjustRightInd w:val="0"/>
        <w:snapToGrid w:val="0"/>
        <w:spacing w:line="360" w:lineRule="auto"/>
        <w:ind w:left="-283" w:leftChars="-135" w:firstLine="424" w:firstLineChars="202"/>
        <w:rPr>
          <w:rFonts w:ascii="宋体" w:hAnsi="宋体" w:eastAsia="宋体" w:cs="宋体"/>
          <w:kern w:val="0"/>
          <w:szCs w:val="21"/>
          <w:highlight w:val="none"/>
        </w:rPr>
      </w:pPr>
      <w:r>
        <w:rPr>
          <w:rFonts w:hint="eastAsia" w:ascii="宋体" w:hAnsi="宋体" w:eastAsia="宋体" w:cs="宋体"/>
          <w:kern w:val="0"/>
          <w:szCs w:val="21"/>
          <w:highlight w:val="none"/>
        </w:rPr>
        <w:t>3.须提供投标产品技术说明书、产品质量检测机构出具的检验报告等。</w:t>
      </w:r>
    </w:p>
    <w:p>
      <w:pPr>
        <w:adjustRightInd w:val="0"/>
        <w:snapToGrid w:val="0"/>
        <w:spacing w:line="360" w:lineRule="auto"/>
        <w:rPr>
          <w:rFonts w:ascii="宋体" w:hAnsi="宋体" w:eastAsia="宋体" w:cs="宋体"/>
          <w:kern w:val="0"/>
          <w:szCs w:val="21"/>
          <w:highlight w:val="none"/>
        </w:rPr>
      </w:pPr>
    </w:p>
    <w:p>
      <w:pPr>
        <w:adjustRightInd w:val="0"/>
        <w:snapToGrid w:val="0"/>
        <w:spacing w:before="120" w:beforeLines="50" w:line="360" w:lineRule="auto"/>
        <w:outlineLvl w:val="1"/>
        <w:rPr>
          <w:rFonts w:ascii="宋体" w:hAnsi="宋体" w:eastAsia="宋体" w:cs="宋体"/>
          <w:b/>
          <w:bCs/>
          <w:highlight w:val="none"/>
        </w:rPr>
      </w:pPr>
      <w:bookmarkStart w:id="3" w:name="_Toc27129"/>
      <w:r>
        <w:rPr>
          <w:rFonts w:hint="eastAsia" w:ascii="宋体" w:hAnsi="宋体" w:eastAsia="宋体" w:cs="宋体"/>
          <w:b/>
          <w:bCs/>
          <w:highlight w:val="none"/>
        </w:rPr>
        <w:t>四、采购标的需满足的数量、质量、安全、技术规格、物理特性等要求</w:t>
      </w:r>
      <w:bookmarkEnd w:id="3"/>
    </w:p>
    <w:p>
      <w:pPr>
        <w:adjustRightInd w:val="0"/>
        <w:snapToGrid w:val="0"/>
        <w:spacing w:line="360" w:lineRule="auto"/>
        <w:ind w:left="-283" w:leftChars="-135" w:firstLine="424" w:firstLineChars="202"/>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1、</w:t>
      </w:r>
      <w:r>
        <w:rPr>
          <w:rFonts w:hint="eastAsia" w:ascii="宋体" w:hAnsi="宋体" w:eastAsia="宋体" w:cs="宋体"/>
          <w:kern w:val="0"/>
          <w:szCs w:val="21"/>
          <w:highlight w:val="none"/>
        </w:rPr>
        <w:t>详见货物的主要技术指标要求。</w:t>
      </w:r>
    </w:p>
    <w:p>
      <w:pPr>
        <w:adjustRightInd w:val="0"/>
        <w:snapToGrid w:val="0"/>
        <w:spacing w:line="360" w:lineRule="auto"/>
        <w:ind w:left="-283" w:leftChars="-135" w:firstLine="424" w:firstLineChars="202"/>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2、投标人自行完成设备选型及安装，并提供报价明细表和报价汇总表。未提出具体要求的按国家（行业）相关质量标准及规范执行。</w:t>
      </w:r>
    </w:p>
    <w:p>
      <w:pPr>
        <w:bidi w:val="0"/>
        <w:rPr>
          <w:rFonts w:hint="eastAsia" w:ascii="Times New Roman" w:hAnsi="Times New Roman" w:eastAsia="宋体" w:cs="Times New Roman"/>
          <w:highlight w:val="none"/>
        </w:rPr>
      </w:pPr>
    </w:p>
    <w:p>
      <w:pPr>
        <w:adjustRightInd w:val="0"/>
        <w:snapToGrid w:val="0"/>
        <w:spacing w:before="120" w:beforeLines="50" w:line="360" w:lineRule="auto"/>
        <w:outlineLvl w:val="1"/>
        <w:rPr>
          <w:rFonts w:ascii="宋体" w:hAnsi="宋体" w:eastAsia="宋体" w:cs="宋体"/>
          <w:b/>
          <w:bCs/>
          <w:kern w:val="0"/>
          <w:szCs w:val="21"/>
          <w:highlight w:val="none"/>
        </w:rPr>
      </w:pPr>
      <w:bookmarkStart w:id="4" w:name="_Toc21981"/>
      <w:r>
        <w:rPr>
          <w:rFonts w:hint="eastAsia" w:ascii="宋体" w:hAnsi="宋体" w:eastAsia="宋体" w:cs="宋体"/>
          <w:b/>
          <w:bCs/>
          <w:kern w:val="0"/>
          <w:szCs w:val="21"/>
          <w:highlight w:val="none"/>
        </w:rPr>
        <w:t>五、采购标的需满足的服务标准、期限、效率等要求</w:t>
      </w:r>
      <w:bookmarkEnd w:id="4"/>
    </w:p>
    <w:p>
      <w:pPr>
        <w:adjustRightInd w:val="0"/>
        <w:snapToGrid w:val="0"/>
        <w:spacing w:line="360" w:lineRule="auto"/>
        <w:ind w:left="-283" w:leftChars="-135" w:firstLine="426" w:firstLineChars="202"/>
        <w:rPr>
          <w:rFonts w:ascii="宋体" w:hAnsi="宋体" w:eastAsia="宋体" w:cs="宋体"/>
          <w:b/>
          <w:kern w:val="0"/>
          <w:szCs w:val="21"/>
          <w:highlight w:val="none"/>
        </w:rPr>
      </w:pPr>
      <w:r>
        <w:rPr>
          <w:rFonts w:hint="eastAsia" w:ascii="宋体" w:hAnsi="宋体" w:eastAsia="宋体" w:cs="宋体"/>
          <w:b/>
          <w:bCs/>
          <w:kern w:val="0"/>
          <w:szCs w:val="21"/>
          <w:highlight w:val="none"/>
        </w:rPr>
        <w:t>★</w:t>
      </w:r>
      <w:r>
        <w:rPr>
          <w:rFonts w:hint="eastAsia" w:ascii="宋体" w:hAnsi="宋体" w:eastAsia="宋体" w:cs="宋体"/>
          <w:b/>
          <w:kern w:val="0"/>
          <w:szCs w:val="21"/>
          <w:highlight w:val="none"/>
        </w:rPr>
        <w:t>1.交货期：中标人应于合同签订生效之日起</w:t>
      </w:r>
      <w:r>
        <w:rPr>
          <w:rFonts w:hint="eastAsia" w:ascii="宋体" w:hAnsi="宋体" w:eastAsia="宋体" w:cs="宋体"/>
          <w:b/>
          <w:kern w:val="0"/>
          <w:szCs w:val="21"/>
          <w:highlight w:val="none"/>
          <w:u w:val="single"/>
        </w:rPr>
        <w:t xml:space="preserve"> </w:t>
      </w:r>
      <w:r>
        <w:rPr>
          <w:rFonts w:hint="eastAsia" w:ascii="宋体" w:hAnsi="宋体" w:eastAsia="宋体" w:cs="宋体"/>
          <w:b/>
          <w:kern w:val="0"/>
          <w:szCs w:val="21"/>
          <w:highlight w:val="none"/>
          <w:u w:val="single"/>
          <w:lang w:val="en-US" w:eastAsia="zh-CN"/>
        </w:rPr>
        <w:t>45</w:t>
      </w:r>
      <w:r>
        <w:rPr>
          <w:rFonts w:hint="eastAsia" w:ascii="宋体" w:hAnsi="宋体" w:eastAsia="宋体" w:cs="宋体"/>
          <w:b/>
          <w:kern w:val="0"/>
          <w:szCs w:val="21"/>
          <w:highlight w:val="none"/>
          <w:u w:val="single"/>
        </w:rPr>
        <w:t xml:space="preserve"> </w:t>
      </w:r>
      <w:r>
        <w:rPr>
          <w:rFonts w:hint="eastAsia" w:ascii="宋体" w:hAnsi="宋体" w:eastAsia="宋体" w:cs="宋体"/>
          <w:b/>
          <w:kern w:val="0"/>
          <w:szCs w:val="21"/>
          <w:highlight w:val="none"/>
        </w:rPr>
        <w:t>日历天（含试运行10天）内将货物运到采购人（江汉大学）指定地点（如采购人不具备接收本项目设备、货物的条件时，则中标人具体送货、进场安装开始时间以采购人通知为准），并完成安装、调试交付采购人验收。</w:t>
      </w:r>
      <w:r>
        <w:rPr>
          <w:rFonts w:hint="eastAsia" w:ascii="宋体" w:hAnsi="宋体" w:eastAsia="宋体" w:cs="宋体"/>
          <w:b/>
          <w:bCs/>
          <w:kern w:val="0"/>
          <w:szCs w:val="21"/>
          <w:highlight w:val="none"/>
        </w:rPr>
        <w:t>（投标人针对本条款的响应根据其实际情况在其投标文件中提供承诺书）</w:t>
      </w:r>
    </w:p>
    <w:p>
      <w:pPr>
        <w:adjustRightInd w:val="0"/>
        <w:snapToGrid w:val="0"/>
        <w:spacing w:line="360" w:lineRule="auto"/>
        <w:ind w:left="-283" w:leftChars="-135" w:firstLine="426" w:firstLineChars="202"/>
        <w:rPr>
          <w:rFonts w:ascii="宋体" w:hAnsi="宋体" w:eastAsia="宋体" w:cs="宋体"/>
          <w:b/>
          <w:bCs/>
          <w:kern w:val="0"/>
          <w:szCs w:val="21"/>
          <w:highlight w:val="none"/>
        </w:rPr>
      </w:pPr>
      <w:r>
        <w:rPr>
          <w:rFonts w:hint="eastAsia" w:ascii="宋体" w:hAnsi="宋体" w:eastAsia="宋体" w:cs="宋体"/>
          <w:b/>
          <w:bCs/>
          <w:kern w:val="0"/>
          <w:szCs w:val="21"/>
          <w:highlight w:val="none"/>
        </w:rPr>
        <w:t>★</w:t>
      </w:r>
      <w:r>
        <w:rPr>
          <w:rFonts w:hint="eastAsia" w:ascii="宋体" w:hAnsi="宋体" w:eastAsia="宋体" w:cs="宋体"/>
          <w:b/>
          <w:kern w:val="0"/>
          <w:szCs w:val="21"/>
          <w:highlight w:val="none"/>
        </w:rPr>
        <w:t>2.项目包保服务期：自项目验收合格之日起不少于</w:t>
      </w:r>
      <w:r>
        <w:rPr>
          <w:rFonts w:hint="eastAsia" w:ascii="宋体" w:hAnsi="宋体" w:eastAsia="宋体" w:cs="宋体"/>
          <w:b/>
          <w:kern w:val="0"/>
          <w:szCs w:val="21"/>
          <w:highlight w:val="none"/>
          <w:u w:val="single"/>
        </w:rPr>
        <w:t xml:space="preserve"> </w:t>
      </w:r>
      <w:r>
        <w:rPr>
          <w:rFonts w:hint="eastAsia" w:ascii="宋体" w:hAnsi="宋体" w:eastAsia="宋体" w:cs="宋体"/>
          <w:b/>
          <w:kern w:val="0"/>
          <w:szCs w:val="21"/>
          <w:highlight w:val="none"/>
          <w:u w:val="single"/>
          <w:lang w:val="en-US" w:eastAsia="zh-CN"/>
        </w:rPr>
        <w:t xml:space="preserve"> 2 </w:t>
      </w:r>
      <w:r>
        <w:rPr>
          <w:rFonts w:hint="eastAsia" w:ascii="宋体" w:hAnsi="宋体" w:eastAsia="宋体" w:cs="宋体"/>
          <w:b/>
          <w:kern w:val="0"/>
          <w:szCs w:val="21"/>
          <w:highlight w:val="none"/>
          <w:u w:val="single"/>
        </w:rPr>
        <w:t xml:space="preserve"> </w:t>
      </w:r>
      <w:r>
        <w:rPr>
          <w:rFonts w:hint="eastAsia" w:ascii="宋体" w:hAnsi="宋体" w:eastAsia="宋体" w:cs="宋体"/>
          <w:b/>
          <w:kern w:val="0"/>
          <w:szCs w:val="21"/>
          <w:highlight w:val="none"/>
        </w:rPr>
        <w:t>年（若中标人在其投标文件中承诺延长项目包保服务期的，请在投标文件中明确应答，且履约保证金退还时间相应延长），且相关服务费应该包含在项目总报价中。</w:t>
      </w:r>
      <w:r>
        <w:rPr>
          <w:rFonts w:hint="eastAsia" w:ascii="宋体" w:hAnsi="宋体" w:eastAsia="宋体" w:cs="宋体"/>
          <w:b/>
          <w:bCs/>
          <w:kern w:val="0"/>
          <w:szCs w:val="21"/>
          <w:highlight w:val="none"/>
        </w:rPr>
        <w:t>（投标人针对本条款的响应根据其实际情况在其投标文件中提供承诺书）</w:t>
      </w:r>
    </w:p>
    <w:p>
      <w:pPr>
        <w:adjustRightInd w:val="0"/>
        <w:snapToGrid w:val="0"/>
        <w:spacing w:line="360" w:lineRule="auto"/>
        <w:ind w:left="-283" w:leftChars="-135" w:firstLine="424" w:firstLineChars="202"/>
        <w:rPr>
          <w:rFonts w:ascii="宋体" w:hAnsi="宋体" w:eastAsia="宋体" w:cs="宋体"/>
          <w:bCs/>
          <w:kern w:val="0"/>
          <w:szCs w:val="21"/>
          <w:highlight w:val="none"/>
        </w:rPr>
      </w:pPr>
      <w:r>
        <w:rPr>
          <w:rFonts w:hint="eastAsia" w:ascii="宋体" w:hAnsi="宋体" w:eastAsia="宋体" w:cs="宋体"/>
          <w:bCs/>
          <w:kern w:val="0"/>
          <w:szCs w:val="21"/>
          <w:highlight w:val="none"/>
        </w:rPr>
        <w:t>3.服务响应时间、处理速度</w:t>
      </w:r>
    </w:p>
    <w:p>
      <w:pPr>
        <w:adjustRightInd w:val="0"/>
        <w:snapToGrid w:val="0"/>
        <w:spacing w:line="360" w:lineRule="auto"/>
        <w:ind w:left="-283" w:leftChars="-135" w:firstLine="424" w:firstLineChars="202"/>
        <w:rPr>
          <w:rFonts w:ascii="宋体" w:hAnsi="宋体" w:eastAsia="宋体" w:cs="宋体"/>
          <w:bCs/>
          <w:kern w:val="0"/>
          <w:szCs w:val="21"/>
          <w:highlight w:val="none"/>
        </w:rPr>
      </w:pPr>
      <w:r>
        <w:rPr>
          <w:rFonts w:hint="eastAsia" w:ascii="宋体" w:hAnsi="宋体" w:eastAsia="宋体" w:cs="宋体"/>
          <w:bCs/>
          <w:kern w:val="0"/>
          <w:szCs w:val="21"/>
          <w:highlight w:val="none"/>
        </w:rPr>
        <w:t>采购人遇到使用及技术问题，中标人电话咨询不能解决的，中标人或货物、设备厂家应在24小时内到达现场进行处理；无法在24小时内解决的，应在5个工作日内提供同档次原厂备用产品，使采购人能够正常使用。否则采购人有权自行安排维修，其维修费用在履约保证金内由采购人相应扣除，不足部分中标人应另外予以补足；履约保证金退还期限前，因前述原因减少的，中标人及时补足。</w:t>
      </w:r>
    </w:p>
    <w:p>
      <w:pPr>
        <w:adjustRightInd w:val="0"/>
        <w:snapToGrid w:val="0"/>
        <w:spacing w:line="360" w:lineRule="auto"/>
        <w:ind w:left="-283" w:leftChars="-135" w:firstLine="424" w:firstLineChars="202"/>
        <w:rPr>
          <w:rFonts w:ascii="宋体" w:hAnsi="宋体" w:eastAsia="宋体" w:cs="宋体"/>
          <w:bCs/>
          <w:kern w:val="0"/>
          <w:szCs w:val="21"/>
          <w:highlight w:val="none"/>
        </w:rPr>
      </w:pPr>
      <w:r>
        <w:rPr>
          <w:rFonts w:hint="eastAsia" w:ascii="宋体" w:hAnsi="宋体" w:eastAsia="宋体" w:cs="宋体"/>
          <w:bCs/>
          <w:kern w:val="0"/>
          <w:szCs w:val="21"/>
          <w:highlight w:val="none"/>
        </w:rPr>
        <w:t>4.售后服务方式</w:t>
      </w:r>
    </w:p>
    <w:p>
      <w:pPr>
        <w:adjustRightInd w:val="0"/>
        <w:snapToGrid w:val="0"/>
        <w:spacing w:line="360" w:lineRule="auto"/>
        <w:ind w:left="-283" w:leftChars="-135" w:firstLine="424" w:firstLineChars="202"/>
        <w:rPr>
          <w:rFonts w:ascii="宋体" w:hAnsi="宋体" w:eastAsia="宋体" w:cs="宋体"/>
          <w:bCs/>
          <w:kern w:val="0"/>
          <w:szCs w:val="21"/>
          <w:highlight w:val="none"/>
        </w:rPr>
      </w:pPr>
      <w:r>
        <w:rPr>
          <w:rFonts w:hint="eastAsia" w:ascii="宋体" w:hAnsi="宋体" w:eastAsia="宋体" w:cs="宋体"/>
          <w:bCs/>
          <w:kern w:val="0"/>
          <w:szCs w:val="21"/>
          <w:highlight w:val="none"/>
        </w:rPr>
        <w:t>项目包保服务期内，因中标人提供的货物及服务质量等出现瑕疵（或缺陷）、设备故障、服务安全等问题，中标人为采购人及时提供相关服务、适宜更换设备、配件和维修（采购人人为损坏除外）。前述发生的所有相关售后服务、设备、配件更换、维修等费用全部包含在项目总报价中。合同履约过程中，中标人不得以任何理由要求采购人另行支付该费用。</w:t>
      </w:r>
    </w:p>
    <w:p>
      <w:pPr>
        <w:adjustRightInd w:val="0"/>
        <w:snapToGrid w:val="0"/>
        <w:spacing w:line="360" w:lineRule="auto"/>
        <w:ind w:left="-283" w:leftChars="-135" w:firstLine="424" w:firstLineChars="202"/>
        <w:rPr>
          <w:rFonts w:ascii="宋体" w:hAnsi="宋体" w:eastAsia="宋体" w:cs="宋体"/>
          <w:bCs/>
          <w:kern w:val="0"/>
          <w:szCs w:val="21"/>
          <w:highlight w:val="none"/>
        </w:rPr>
      </w:pPr>
      <w:r>
        <w:rPr>
          <w:rFonts w:hint="eastAsia" w:ascii="宋体" w:hAnsi="宋体" w:eastAsia="宋体" w:cs="宋体"/>
          <w:bCs/>
          <w:kern w:val="0"/>
          <w:szCs w:val="21"/>
          <w:highlight w:val="none"/>
        </w:rPr>
        <w:t>“三包服务”要求：采购货物属于国家规定“三包服务”范围的，中标人售后服务质量不得低于“三包服务”要求。中标人承诺售后服务质量优于国家“三包服务”规定的，按中标人实际承诺执行。</w:t>
      </w:r>
    </w:p>
    <w:p>
      <w:pPr>
        <w:adjustRightInd w:val="0"/>
        <w:snapToGrid w:val="0"/>
        <w:spacing w:line="360" w:lineRule="auto"/>
        <w:ind w:left="-283" w:leftChars="-135" w:firstLine="424" w:firstLineChars="202"/>
        <w:rPr>
          <w:rFonts w:ascii="宋体" w:hAnsi="宋体" w:eastAsia="宋体" w:cs="宋体"/>
          <w:bCs/>
          <w:kern w:val="0"/>
          <w:szCs w:val="21"/>
          <w:highlight w:val="none"/>
        </w:rPr>
      </w:pPr>
      <w:r>
        <w:rPr>
          <w:rFonts w:hint="eastAsia" w:ascii="宋体" w:hAnsi="宋体" w:eastAsia="宋体" w:cs="宋体"/>
          <w:bCs/>
          <w:kern w:val="0"/>
          <w:szCs w:val="21"/>
          <w:highlight w:val="none"/>
        </w:rPr>
        <w:t>电话咨询服务：中标人和厂家应当为采购人提供技术援助电话，解答采购人在使用中遇到的问题，及时为采购人提出解决问题的建议。</w:t>
      </w:r>
    </w:p>
    <w:p>
      <w:pPr>
        <w:adjustRightInd w:val="0"/>
        <w:snapToGrid w:val="0"/>
        <w:spacing w:line="360" w:lineRule="auto"/>
        <w:ind w:left="-283" w:leftChars="-135" w:firstLine="424" w:firstLineChars="202"/>
        <w:rPr>
          <w:rFonts w:ascii="宋体" w:hAnsi="宋体" w:eastAsia="宋体" w:cs="宋体"/>
          <w:bCs/>
          <w:kern w:val="0"/>
          <w:szCs w:val="21"/>
          <w:highlight w:val="none"/>
        </w:rPr>
      </w:pPr>
      <w:r>
        <w:rPr>
          <w:rFonts w:hint="eastAsia" w:ascii="宋体" w:hAnsi="宋体" w:eastAsia="宋体" w:cs="宋体"/>
          <w:bCs/>
          <w:kern w:val="0"/>
          <w:szCs w:val="21"/>
          <w:highlight w:val="none"/>
        </w:rPr>
        <w:t>项目包保服务期后，中标人和厂家应同样提供电话咨询服务，并应承诺提供产品上门维护服务。采购人需要继续由中标人和厂家提供售后服务的，中标人和厂家应以优惠价格提供售后服务，只收取配品配件件成本费，不收取劳务费。</w:t>
      </w:r>
    </w:p>
    <w:p>
      <w:pPr>
        <w:adjustRightInd w:val="0"/>
        <w:snapToGrid w:val="0"/>
        <w:spacing w:line="360" w:lineRule="auto"/>
        <w:ind w:left="-283" w:leftChars="-135" w:firstLine="424" w:firstLineChars="202"/>
        <w:rPr>
          <w:rFonts w:ascii="宋体" w:hAnsi="宋体" w:eastAsia="宋体" w:cs="宋体"/>
          <w:bCs/>
          <w:kern w:val="0"/>
          <w:szCs w:val="21"/>
          <w:highlight w:val="none"/>
        </w:rPr>
      </w:pPr>
      <w:r>
        <w:rPr>
          <w:rFonts w:hint="eastAsia" w:ascii="宋体" w:hAnsi="宋体" w:eastAsia="宋体" w:cs="宋体"/>
          <w:bCs/>
          <w:kern w:val="0"/>
          <w:szCs w:val="21"/>
          <w:highlight w:val="none"/>
        </w:rPr>
        <w:t>5.备品备件要求</w:t>
      </w:r>
    </w:p>
    <w:p>
      <w:pPr>
        <w:adjustRightInd w:val="0"/>
        <w:snapToGrid w:val="0"/>
        <w:spacing w:line="360" w:lineRule="auto"/>
        <w:ind w:left="-283" w:leftChars="-135" w:firstLine="424" w:firstLineChars="202"/>
        <w:rPr>
          <w:rFonts w:ascii="宋体" w:hAnsi="宋体" w:eastAsia="宋体" w:cs="宋体"/>
          <w:bCs/>
          <w:kern w:val="0"/>
          <w:szCs w:val="21"/>
          <w:highlight w:val="none"/>
        </w:rPr>
      </w:pPr>
      <w:r>
        <w:rPr>
          <w:rFonts w:hint="eastAsia" w:ascii="宋体" w:hAnsi="宋体" w:eastAsia="宋体" w:cs="宋体"/>
          <w:bCs/>
          <w:kern w:val="0"/>
          <w:szCs w:val="21"/>
          <w:highlight w:val="none"/>
        </w:rPr>
        <w:t>中标人或厂家应提供备品备件，保证采购人应急所需。使用的维修零配件应为原厂配件，未经用户同意不得使用非原厂配件。</w:t>
      </w:r>
    </w:p>
    <w:p>
      <w:pPr>
        <w:widowControl w:val="0"/>
        <w:spacing w:after="120"/>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6、报检报验要求</w:t>
      </w:r>
    </w:p>
    <w:p>
      <w:pPr>
        <w:widowControl w:val="0"/>
        <w:spacing w:after="120"/>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（1）供应商完成冷库安装、调试、试运行并由采购人验收后，由供应商向相关技术监督部门报检报验（如需）。</w:t>
      </w:r>
    </w:p>
    <w:p>
      <w:pPr>
        <w:widowControl w:val="0"/>
        <w:spacing w:after="120"/>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（2）技术监督部门验收过程中，采购人派员参加。</w:t>
      </w:r>
    </w:p>
    <w:p>
      <w:pPr>
        <w:widowControl w:val="0"/>
        <w:spacing w:after="120"/>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（3）技术监督部门验收合格，并签发使用证书，方视为全部交货完毕。</w:t>
      </w:r>
    </w:p>
    <w:p>
      <w:pPr>
        <w:widowControl w:val="0"/>
        <w:spacing w:after="120"/>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（4）所有报检报验的费用由供应商负责。</w:t>
      </w:r>
    </w:p>
    <w:p>
      <w:pPr>
        <w:widowControl w:val="0"/>
        <w:spacing w:after="120"/>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（5）所有报检验收文件、资料及图纸由供应商全部整理成册后交采购人存档。</w:t>
      </w:r>
    </w:p>
    <w:p>
      <w:pPr>
        <w:adjustRightInd w:val="0"/>
        <w:snapToGrid w:val="0"/>
        <w:spacing w:before="120" w:beforeLines="50" w:line="360" w:lineRule="auto"/>
        <w:outlineLvl w:val="1"/>
        <w:rPr>
          <w:rFonts w:ascii="宋体" w:hAnsi="宋体" w:eastAsia="宋体" w:cs="宋体"/>
          <w:b/>
          <w:bCs/>
          <w:kern w:val="0"/>
          <w:szCs w:val="21"/>
          <w:highlight w:val="none"/>
        </w:rPr>
      </w:pPr>
      <w:bookmarkStart w:id="5" w:name="_Toc21190"/>
      <w:r>
        <w:rPr>
          <w:rFonts w:hint="eastAsia" w:ascii="宋体" w:hAnsi="宋体" w:eastAsia="宋体" w:cs="宋体"/>
          <w:b/>
          <w:bCs/>
          <w:kern w:val="0"/>
          <w:szCs w:val="21"/>
          <w:highlight w:val="none"/>
        </w:rPr>
        <w:t>六、采购标的的验收要求</w:t>
      </w:r>
      <w:bookmarkEnd w:id="5"/>
    </w:p>
    <w:p>
      <w:pPr>
        <w:adjustRightInd w:val="0"/>
        <w:snapToGrid w:val="0"/>
        <w:spacing w:line="360" w:lineRule="auto"/>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1．验收方式：货物设备在发货前，中标人应提供所投设备的技术参数证明材料（且证明材料中的指标应与投标文件载明或承诺的内容一致），证明材料可为：所投设备制造商盖章的技术指标证明材料或其提供的含技术指标的产品宣传（彩）页或者其官网的相应技术指标的网页截图或具有相关检测资质的第三方机构出具的含相关技术指标的检测报告，经甲方技术人员初审确认后方可发货，未经甲方确认中标人擅自发货的采购人有权拒绝验货；所有设备经安装调试，正常运行10天后由中标人提出验收申请，采购人依合同约定组织验收。</w:t>
      </w:r>
    </w:p>
    <w:p>
      <w:pPr>
        <w:adjustRightInd w:val="0"/>
        <w:snapToGrid w:val="0"/>
        <w:spacing w:line="360" w:lineRule="auto"/>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1）项目完工后，货物设备经安装调试，正常运行10天后由中标人提出验收申请，采购人依合同约定组织验收。中标人应随验收申请一并附验收所需要的全部材料。采购人将组织相关人员对采购项目进行验收，验收意见作为项目验收结论的参考资料存档备查。项目验收结论为合同款支付的主要依据。中标人货物不符合合同文件以及相关产品技术标准要求的，采购人有权退货。中标人应在采购人要求的合理期限内将货物运出，并重新交付货物，交货日期不予顺延。</w:t>
      </w:r>
    </w:p>
    <w:p>
      <w:pPr>
        <w:adjustRightInd w:val="0"/>
        <w:snapToGrid w:val="0"/>
        <w:spacing w:line="360" w:lineRule="auto"/>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2）验收过程中，采购人对照采购合同的技术指标、服务及安全要求逐项核对检验，对所有要求出具的证明文件的原件进行核查，中标人有义务如实提供。如不符合采购合同约定的技术需求、服务、安全要求以及中标人提供虚假承诺的，采购人有权按相关规定做退货处理（中标人应在采购人要求的合理期限内将货物运出，并重新交付货物，交货日期不予顺延。）及对中标人的违约处理，中标人承担所有责任和费用，采购人保留进一步追究责任的权利。</w:t>
      </w:r>
    </w:p>
    <w:p>
      <w:pPr>
        <w:adjustRightInd w:val="0"/>
        <w:snapToGrid w:val="0"/>
        <w:spacing w:line="360" w:lineRule="auto"/>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3）验收过程中，采购人有权根据项目建设实际情况，聘请双方认可的有独立检测资质的第三方单位对项目质量进行检测，包括但不限于对货物设备技术指标、软件是否为正版、相关场所进行相关环境污染物浓度限量检测；相关检测不合格的，其检测费用由中标人承担，采购人有权拒绝对中标人交付项目（含设备）的验收，所造成的一切后果由中标人自行承担。</w:t>
      </w:r>
    </w:p>
    <w:p>
      <w:pPr>
        <w:adjustRightInd w:val="0"/>
        <w:snapToGrid w:val="0"/>
        <w:spacing w:line="360" w:lineRule="auto"/>
        <w:ind w:firstLine="422" w:firstLineChars="200"/>
        <w:rPr>
          <w:rFonts w:ascii="宋体" w:hAnsi="宋体" w:eastAsia="宋体" w:cs="宋体"/>
          <w:b/>
          <w:kern w:val="0"/>
          <w:szCs w:val="21"/>
          <w:highlight w:val="none"/>
        </w:rPr>
      </w:pPr>
      <w:r>
        <w:rPr>
          <w:rFonts w:hint="eastAsia" w:ascii="宋体" w:hAnsi="宋体" w:eastAsia="宋体" w:cs="宋体"/>
          <w:b/>
          <w:bCs/>
          <w:kern w:val="0"/>
          <w:szCs w:val="21"/>
          <w:highlight w:val="none"/>
        </w:rPr>
        <w:t>★</w:t>
      </w:r>
      <w:r>
        <w:rPr>
          <w:rFonts w:hint="eastAsia" w:ascii="宋体" w:hAnsi="宋体" w:eastAsia="宋体" w:cs="宋体"/>
          <w:b/>
          <w:kern w:val="0"/>
          <w:szCs w:val="21"/>
          <w:highlight w:val="none"/>
        </w:rPr>
        <w:t>2．本项目按如下流程验收</w:t>
      </w:r>
      <w:r>
        <w:rPr>
          <w:rFonts w:hint="eastAsia" w:ascii="宋体" w:hAnsi="宋体" w:eastAsia="宋体" w:cs="宋体"/>
          <w:b/>
          <w:bCs/>
          <w:kern w:val="0"/>
          <w:szCs w:val="21"/>
          <w:highlight w:val="none"/>
        </w:rPr>
        <w:t>（投标人针对本条款的响应根据其实际情况在其投标文件中提供满足或优于的承诺）</w:t>
      </w:r>
    </w:p>
    <w:p>
      <w:pPr>
        <w:adjustRightInd w:val="0"/>
        <w:snapToGrid w:val="0"/>
        <w:spacing w:line="360" w:lineRule="auto"/>
        <w:ind w:firstLine="422" w:firstLineChars="200"/>
        <w:rPr>
          <w:rFonts w:ascii="宋体" w:hAnsi="宋体" w:eastAsia="宋体" w:cs="宋体"/>
          <w:b/>
          <w:kern w:val="0"/>
          <w:szCs w:val="21"/>
          <w:highlight w:val="none"/>
        </w:rPr>
      </w:pPr>
      <w:r>
        <w:rPr>
          <w:rFonts w:hint="eastAsia" w:ascii="宋体" w:hAnsi="宋体" w:eastAsia="宋体" w:cs="宋体"/>
          <w:b/>
          <w:kern w:val="0"/>
          <w:szCs w:val="21"/>
          <w:highlight w:val="none"/>
        </w:rPr>
        <w:t>（1）具备验收条件后由中标人向采购人提出验收申请并填写验收申请表。若中标人未在规定的交货期内提交验收申请，如无特殊情况视为不合格。</w:t>
      </w:r>
    </w:p>
    <w:p>
      <w:pPr>
        <w:adjustRightInd w:val="0"/>
        <w:snapToGrid w:val="0"/>
        <w:spacing w:line="360" w:lineRule="auto"/>
        <w:ind w:firstLine="422" w:firstLineChars="200"/>
        <w:rPr>
          <w:rFonts w:ascii="宋体" w:hAnsi="宋体" w:eastAsia="宋体" w:cs="宋体"/>
          <w:b/>
          <w:kern w:val="0"/>
          <w:szCs w:val="21"/>
          <w:highlight w:val="none"/>
        </w:rPr>
      </w:pPr>
      <w:r>
        <w:rPr>
          <w:rFonts w:hint="eastAsia" w:ascii="宋体" w:hAnsi="宋体" w:eastAsia="宋体" w:cs="宋体"/>
          <w:b/>
          <w:kern w:val="0"/>
          <w:szCs w:val="21"/>
          <w:highlight w:val="none"/>
        </w:rPr>
        <w:t>（2）货物验收须有中标人、验收小组以及使用单位的人同时在场。</w:t>
      </w:r>
    </w:p>
    <w:p>
      <w:pPr>
        <w:adjustRightInd w:val="0"/>
        <w:snapToGrid w:val="0"/>
        <w:spacing w:line="360" w:lineRule="auto"/>
        <w:ind w:firstLine="422" w:firstLineChars="200"/>
        <w:rPr>
          <w:rFonts w:ascii="宋体" w:hAnsi="宋体" w:eastAsia="宋体" w:cs="宋体"/>
          <w:b/>
          <w:kern w:val="0"/>
          <w:szCs w:val="21"/>
          <w:highlight w:val="none"/>
        </w:rPr>
      </w:pPr>
      <w:r>
        <w:rPr>
          <w:rFonts w:hint="eastAsia" w:ascii="宋体" w:hAnsi="宋体" w:eastAsia="宋体" w:cs="宋体"/>
          <w:b/>
          <w:kern w:val="0"/>
          <w:szCs w:val="21"/>
          <w:highlight w:val="none"/>
        </w:rPr>
        <w:t>（3）中标人应保证货物到达用户所在地完好无损，如有缺漏、损坏，由中标人负责调换、补齐或赔偿。</w:t>
      </w:r>
    </w:p>
    <w:p>
      <w:pPr>
        <w:adjustRightInd w:val="0"/>
        <w:snapToGrid w:val="0"/>
        <w:spacing w:line="360" w:lineRule="auto"/>
        <w:ind w:firstLine="422" w:firstLineChars="200"/>
        <w:rPr>
          <w:rFonts w:ascii="宋体" w:hAnsi="宋体" w:eastAsia="宋体" w:cs="宋体"/>
          <w:b/>
          <w:kern w:val="0"/>
          <w:szCs w:val="21"/>
          <w:highlight w:val="none"/>
        </w:rPr>
      </w:pPr>
      <w:r>
        <w:rPr>
          <w:rFonts w:hint="eastAsia" w:ascii="宋体" w:hAnsi="宋体" w:eastAsia="宋体" w:cs="宋体"/>
          <w:b/>
          <w:kern w:val="0"/>
          <w:szCs w:val="21"/>
          <w:highlight w:val="none"/>
        </w:rPr>
        <w:t>（4）中标人应提供完备的技术资料(所用材料的品牌技术规格清单)、装箱单和原厂验收结果证明（或合格证）及投标文件中所涉及的相关检测报告（若有）等，并派遣专业技术人员进行现场安装调试。验收合格条件如下：</w:t>
      </w:r>
    </w:p>
    <w:p>
      <w:pPr>
        <w:adjustRightInd w:val="0"/>
        <w:snapToGrid w:val="0"/>
        <w:spacing w:line="360" w:lineRule="auto"/>
        <w:ind w:firstLine="422" w:firstLineChars="200"/>
        <w:rPr>
          <w:rFonts w:ascii="宋体" w:hAnsi="宋体" w:eastAsia="宋体" w:cs="宋体"/>
          <w:b/>
          <w:kern w:val="0"/>
          <w:szCs w:val="21"/>
          <w:highlight w:val="none"/>
        </w:rPr>
      </w:pPr>
      <w:r>
        <w:rPr>
          <w:rFonts w:hint="eastAsia" w:ascii="宋体" w:hAnsi="宋体" w:eastAsia="宋体" w:cs="宋体"/>
          <w:b/>
          <w:kern w:val="0"/>
          <w:szCs w:val="21"/>
          <w:highlight w:val="none"/>
        </w:rPr>
        <w:t>4.1设备品种、规格、数量、技术参数以及商品品牌、生产厂家等与采购合同及封存样品一致，性能指标达到规定的标准。</w:t>
      </w:r>
    </w:p>
    <w:p>
      <w:pPr>
        <w:adjustRightInd w:val="0"/>
        <w:snapToGrid w:val="0"/>
        <w:spacing w:line="360" w:lineRule="auto"/>
        <w:ind w:firstLine="422" w:firstLineChars="200"/>
        <w:rPr>
          <w:rFonts w:ascii="宋体" w:hAnsi="宋体" w:eastAsia="宋体" w:cs="宋体"/>
          <w:b/>
          <w:kern w:val="0"/>
          <w:szCs w:val="21"/>
          <w:highlight w:val="none"/>
        </w:rPr>
      </w:pPr>
      <w:r>
        <w:rPr>
          <w:rFonts w:hint="eastAsia" w:ascii="宋体" w:hAnsi="宋体" w:eastAsia="宋体" w:cs="宋体"/>
          <w:b/>
          <w:kern w:val="0"/>
          <w:szCs w:val="21"/>
          <w:highlight w:val="none"/>
        </w:rPr>
        <w:t>4.2货物技术资料、产品证书的原件或复印件、装箱单、原厂验收结果证明（或合格证）及投标文件中所涉及的相关检测报告（若有）等资料齐全。</w:t>
      </w:r>
    </w:p>
    <w:p>
      <w:pPr>
        <w:adjustRightInd w:val="0"/>
        <w:snapToGrid w:val="0"/>
        <w:spacing w:line="360" w:lineRule="auto"/>
        <w:ind w:firstLine="422" w:firstLineChars="200"/>
        <w:rPr>
          <w:rFonts w:ascii="宋体" w:hAnsi="宋体" w:eastAsia="宋体" w:cs="宋体"/>
          <w:b/>
          <w:kern w:val="0"/>
          <w:szCs w:val="21"/>
          <w:highlight w:val="none"/>
        </w:rPr>
      </w:pPr>
      <w:r>
        <w:rPr>
          <w:rFonts w:hint="eastAsia" w:ascii="宋体" w:hAnsi="宋体" w:eastAsia="宋体" w:cs="宋体"/>
          <w:b/>
          <w:kern w:val="0"/>
          <w:szCs w:val="21"/>
          <w:highlight w:val="none"/>
        </w:rPr>
        <w:t>4.3在试用期间所出现的问题得到解决，并运行正常。</w:t>
      </w:r>
    </w:p>
    <w:p>
      <w:pPr>
        <w:adjustRightInd w:val="0"/>
        <w:snapToGrid w:val="0"/>
        <w:spacing w:line="360" w:lineRule="auto"/>
        <w:ind w:firstLine="422" w:firstLineChars="200"/>
        <w:rPr>
          <w:rFonts w:ascii="宋体" w:hAnsi="宋体" w:eastAsia="宋体" w:cs="宋体"/>
          <w:b/>
          <w:kern w:val="0"/>
          <w:szCs w:val="21"/>
          <w:highlight w:val="none"/>
        </w:rPr>
      </w:pPr>
      <w:r>
        <w:rPr>
          <w:rFonts w:hint="eastAsia" w:ascii="宋体" w:hAnsi="宋体" w:eastAsia="宋体" w:cs="宋体"/>
          <w:b/>
          <w:kern w:val="0"/>
          <w:szCs w:val="21"/>
          <w:highlight w:val="none"/>
        </w:rPr>
        <w:t>4.4提供足量供日常维护的配件。</w:t>
      </w:r>
    </w:p>
    <w:p>
      <w:pPr>
        <w:adjustRightInd w:val="0"/>
        <w:snapToGrid w:val="0"/>
        <w:spacing w:line="360" w:lineRule="auto"/>
        <w:ind w:firstLine="422" w:firstLineChars="200"/>
        <w:rPr>
          <w:rFonts w:ascii="宋体" w:hAnsi="宋体" w:eastAsia="宋体" w:cs="宋体"/>
          <w:b/>
          <w:kern w:val="0"/>
          <w:szCs w:val="21"/>
          <w:highlight w:val="none"/>
        </w:rPr>
      </w:pPr>
      <w:r>
        <w:rPr>
          <w:rFonts w:hint="eastAsia" w:ascii="宋体" w:hAnsi="宋体" w:eastAsia="宋体" w:cs="宋体"/>
          <w:b/>
          <w:kern w:val="0"/>
          <w:szCs w:val="21"/>
          <w:highlight w:val="none"/>
        </w:rPr>
        <w:t>4.5在规定时间内完成交货并由采购人组织的验收小组进行验收，并出具验收报告经验收小组签字确认。</w:t>
      </w:r>
    </w:p>
    <w:p>
      <w:pPr>
        <w:adjustRightInd w:val="0"/>
        <w:snapToGrid w:val="0"/>
        <w:spacing w:line="360" w:lineRule="auto"/>
        <w:ind w:firstLine="422" w:firstLineChars="200"/>
        <w:rPr>
          <w:rFonts w:ascii="宋体" w:hAnsi="宋体" w:eastAsia="宋体" w:cs="宋体"/>
          <w:b/>
          <w:kern w:val="0"/>
          <w:szCs w:val="21"/>
          <w:highlight w:val="none"/>
        </w:rPr>
      </w:pPr>
      <w:r>
        <w:rPr>
          <w:rFonts w:hint="eastAsia" w:ascii="宋体" w:hAnsi="宋体" w:eastAsia="宋体" w:cs="宋体"/>
          <w:b/>
          <w:kern w:val="0"/>
          <w:szCs w:val="21"/>
          <w:highlight w:val="none"/>
        </w:rPr>
        <w:t>（5）中标人提供的货物未达到规定要求，且对采购人造成损失的，由中标人承担一切责任，并赔偿所造成的损失。</w:t>
      </w:r>
    </w:p>
    <w:p>
      <w:pPr>
        <w:adjustRightInd w:val="0"/>
        <w:snapToGrid w:val="0"/>
        <w:spacing w:line="360" w:lineRule="auto"/>
        <w:ind w:firstLine="422" w:firstLineChars="200"/>
        <w:rPr>
          <w:rFonts w:ascii="宋体" w:hAnsi="宋体" w:eastAsia="宋体" w:cs="宋体"/>
          <w:b/>
          <w:kern w:val="0"/>
          <w:szCs w:val="21"/>
          <w:highlight w:val="none"/>
        </w:rPr>
      </w:pPr>
      <w:r>
        <w:rPr>
          <w:rFonts w:hint="eastAsia" w:ascii="宋体" w:hAnsi="宋体" w:eastAsia="宋体" w:cs="宋体"/>
          <w:b/>
          <w:kern w:val="0"/>
          <w:szCs w:val="21"/>
          <w:highlight w:val="none"/>
        </w:rPr>
        <w:t>（6）本项目在整个项目建设实施及包保服务期维护、服务等过程中所产生的各类配件一律由中标人提供。</w:t>
      </w:r>
    </w:p>
    <w:p>
      <w:pPr>
        <w:adjustRightInd w:val="0"/>
        <w:snapToGrid w:val="0"/>
        <w:spacing w:line="360" w:lineRule="auto"/>
        <w:ind w:firstLine="422" w:firstLineChars="200"/>
        <w:rPr>
          <w:rFonts w:ascii="宋体" w:hAnsi="宋体" w:eastAsia="宋体" w:cs="宋体"/>
          <w:b/>
          <w:kern w:val="0"/>
          <w:szCs w:val="21"/>
          <w:highlight w:val="none"/>
        </w:rPr>
      </w:pPr>
      <w:r>
        <w:rPr>
          <w:rFonts w:hint="eastAsia" w:ascii="宋体" w:hAnsi="宋体" w:eastAsia="宋体" w:cs="宋体"/>
          <w:b/>
          <w:kern w:val="0"/>
          <w:szCs w:val="21"/>
          <w:highlight w:val="none"/>
        </w:rPr>
        <w:t>（7）采购人可根据本采购项目实际建设需要邀请国家认可的质量检测机构参加验收工作（包括破坏性实验）或随机抽样送质检局检验,凡不符合要求者，采购人有权拒绝支付全部货款。若采购人前期已经支付预付款的，中标人应该全额退还采购人。</w:t>
      </w:r>
    </w:p>
    <w:p>
      <w:pPr>
        <w:adjustRightInd w:val="0"/>
        <w:snapToGrid w:val="0"/>
        <w:spacing w:line="360" w:lineRule="auto"/>
        <w:ind w:firstLine="422" w:firstLineChars="200"/>
        <w:rPr>
          <w:rFonts w:ascii="宋体" w:hAnsi="宋体" w:eastAsia="宋体" w:cs="宋体"/>
          <w:b/>
          <w:kern w:val="0"/>
          <w:szCs w:val="21"/>
          <w:highlight w:val="none"/>
        </w:rPr>
      </w:pPr>
      <w:r>
        <w:rPr>
          <w:rFonts w:hint="eastAsia" w:ascii="宋体" w:hAnsi="宋体" w:eastAsia="宋体" w:cs="宋体"/>
          <w:b/>
          <w:kern w:val="0"/>
          <w:szCs w:val="21"/>
          <w:highlight w:val="none"/>
        </w:rPr>
        <w:t>（8）采购人根据本采购项目实际建设需要厂家对中标人交付的产品（包括质量、技术参数等）进行确认的，厂家应予以配合，并出具书面意见。</w:t>
      </w:r>
    </w:p>
    <w:p>
      <w:pPr>
        <w:adjustRightInd w:val="0"/>
        <w:snapToGrid w:val="0"/>
        <w:spacing w:line="360" w:lineRule="auto"/>
        <w:ind w:firstLine="422" w:firstLineChars="200"/>
        <w:rPr>
          <w:rFonts w:ascii="宋体" w:hAnsi="宋体" w:eastAsia="宋体" w:cs="宋体"/>
          <w:b/>
          <w:kern w:val="0"/>
          <w:szCs w:val="21"/>
          <w:highlight w:val="none"/>
        </w:rPr>
      </w:pPr>
      <w:r>
        <w:rPr>
          <w:rFonts w:hint="eastAsia" w:ascii="宋体" w:hAnsi="宋体" w:eastAsia="宋体" w:cs="宋体"/>
          <w:b/>
          <w:kern w:val="0"/>
          <w:szCs w:val="21"/>
          <w:highlight w:val="none"/>
        </w:rPr>
        <w:t>（9）产品包装材料（纸质、塑料）归采购人所有，木板等杂物由中标人负责清除。</w:t>
      </w:r>
    </w:p>
    <w:p>
      <w:pPr>
        <w:adjustRightInd w:val="0"/>
        <w:snapToGrid w:val="0"/>
        <w:spacing w:line="360" w:lineRule="auto"/>
        <w:ind w:firstLine="422" w:firstLineChars="200"/>
        <w:rPr>
          <w:rFonts w:ascii="宋体" w:hAnsi="宋体" w:eastAsia="宋体" w:cs="宋体"/>
          <w:b/>
          <w:kern w:val="0"/>
          <w:szCs w:val="21"/>
          <w:highlight w:val="none"/>
        </w:rPr>
      </w:pPr>
    </w:p>
    <w:p>
      <w:pPr>
        <w:adjustRightInd w:val="0"/>
        <w:snapToGrid w:val="0"/>
        <w:spacing w:before="120" w:beforeLines="50" w:line="360" w:lineRule="auto"/>
        <w:outlineLvl w:val="1"/>
        <w:rPr>
          <w:rFonts w:ascii="宋体" w:hAnsi="宋体" w:eastAsia="宋体" w:cs="宋体"/>
          <w:b/>
          <w:bCs/>
          <w:kern w:val="0"/>
          <w:szCs w:val="21"/>
          <w:highlight w:val="none"/>
        </w:rPr>
      </w:pPr>
      <w:bookmarkStart w:id="6" w:name="_Toc450"/>
      <w:r>
        <w:rPr>
          <w:rFonts w:hint="eastAsia" w:ascii="宋体" w:hAnsi="宋体" w:eastAsia="宋体" w:cs="宋体"/>
          <w:b/>
          <w:bCs/>
          <w:kern w:val="0"/>
          <w:szCs w:val="21"/>
          <w:highlight w:val="none"/>
        </w:rPr>
        <w:t>七、报价要求</w:t>
      </w:r>
      <w:bookmarkEnd w:id="6"/>
    </w:p>
    <w:p>
      <w:pPr>
        <w:adjustRightInd w:val="0"/>
        <w:snapToGrid w:val="0"/>
        <w:spacing w:line="360" w:lineRule="auto"/>
        <w:ind w:firstLine="420" w:firstLineChars="20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1、设备报价要求：</w:t>
      </w:r>
    </w:p>
    <w:p>
      <w:pPr>
        <w:adjustRightInd w:val="0"/>
        <w:snapToGrid w:val="0"/>
        <w:spacing w:line="360" w:lineRule="auto"/>
        <w:ind w:firstLine="420" w:firstLineChars="20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（1）本项目全部设备若本身含有标准配件、辅材的，则本采购需求包含之；</w:t>
      </w:r>
    </w:p>
    <w:p>
      <w:pPr>
        <w:adjustRightInd w:val="0"/>
        <w:snapToGrid w:val="0"/>
        <w:spacing w:line="360" w:lineRule="auto"/>
        <w:ind w:firstLine="420" w:firstLineChars="20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（2）本采购需求包含其全部设备及其配件（若有）、辅材的安装、调试、基础处理（如需要）等；</w:t>
      </w:r>
    </w:p>
    <w:p>
      <w:pPr>
        <w:adjustRightInd w:val="0"/>
        <w:snapToGrid w:val="0"/>
        <w:spacing w:line="360" w:lineRule="auto"/>
        <w:ind w:firstLine="422" w:firstLineChars="200"/>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3）本次采购包括了为实现本项目采购货物（设备或系统、软件、平台（如有），全文同）及其相关服务的全部性能（功能）、技术指标、安全性等正常运行（或正常表达）并达到质量要求所需的全部配件、辅材、安装、施工（如必须的话）、服务等已列明或未列明的全部内容，乙方应在其总报价中充分予以考虑。在本项目采购合同实施中，甲方将不予支付乙方没有列入项目报价清单的任何费用，并认为此类费用已包含在签约合同总金额中。（投标人针对本条款的响应根据其实际情况在其投标文件中提供满足或优于的承诺）</w:t>
      </w:r>
    </w:p>
    <w:p>
      <w:pPr>
        <w:adjustRightInd w:val="0"/>
        <w:snapToGrid w:val="0"/>
        <w:spacing w:before="120" w:beforeLines="50" w:line="360" w:lineRule="auto"/>
        <w:outlineLvl w:val="1"/>
        <w:rPr>
          <w:rFonts w:ascii="宋体" w:hAnsi="宋体" w:eastAsia="宋体" w:cs="宋体"/>
          <w:b/>
          <w:bCs/>
          <w:kern w:val="0"/>
          <w:szCs w:val="21"/>
          <w:highlight w:val="none"/>
        </w:rPr>
      </w:pPr>
      <w:bookmarkStart w:id="7" w:name="_Toc3417"/>
      <w:r>
        <w:rPr>
          <w:rFonts w:hint="eastAsia" w:ascii="Times New Roman" w:hAnsi="Times New Roman" w:eastAsia="宋体" w:cs="Times New Roman"/>
          <w:b/>
          <w:szCs w:val="21"/>
          <w:highlight w:val="none"/>
        </w:rPr>
        <w:t>★</w:t>
      </w:r>
      <w:r>
        <w:rPr>
          <w:rFonts w:hint="eastAsia" w:ascii="宋体" w:hAnsi="宋体" w:eastAsia="宋体" w:cs="宋体"/>
          <w:b/>
          <w:bCs/>
          <w:kern w:val="0"/>
          <w:szCs w:val="21"/>
          <w:highlight w:val="none"/>
        </w:rPr>
        <w:t>八、履约保证金及合同款支付（投标人针对本条款的响应，根据其实际情况在其投标文件中提供满足或优于的承诺）</w:t>
      </w:r>
      <w:bookmarkEnd w:id="7"/>
    </w:p>
    <w:p>
      <w:pPr>
        <w:spacing w:line="360" w:lineRule="auto"/>
        <w:ind w:firstLine="422" w:firstLineChars="200"/>
        <w:rPr>
          <w:rFonts w:ascii="宋体" w:hAnsi="宋体" w:eastAsia="宋体" w:cs="宋体"/>
          <w:b/>
          <w:bCs/>
          <w:kern w:val="0"/>
          <w:szCs w:val="21"/>
          <w:highlight w:val="none"/>
        </w:rPr>
      </w:pPr>
      <w:r>
        <w:rPr>
          <w:rFonts w:hint="eastAsia" w:ascii="Times New Roman" w:hAnsi="Times New Roman" w:eastAsia="宋体" w:cs="Times New Roman"/>
          <w:b/>
          <w:szCs w:val="21"/>
          <w:highlight w:val="none"/>
        </w:rPr>
        <w:t>详见本招标文件“第二章 投标人须知”的“投标人须知前附表”的条款号“1.3.3付款方式（实质性要求）”、“9.1.1履约保证金（实质性要求）”的相关要求。</w:t>
      </w:r>
    </w:p>
    <w:p>
      <w:pPr>
        <w:adjustRightInd w:val="0"/>
        <w:snapToGrid w:val="0"/>
        <w:spacing w:before="120" w:beforeLines="50" w:line="360" w:lineRule="auto"/>
        <w:outlineLvl w:val="1"/>
        <w:rPr>
          <w:rFonts w:ascii="宋体" w:hAnsi="宋体" w:eastAsia="宋体" w:cs="宋体"/>
          <w:b/>
          <w:bCs/>
          <w:kern w:val="0"/>
          <w:szCs w:val="21"/>
          <w:highlight w:val="none"/>
        </w:rPr>
      </w:pPr>
      <w:bookmarkStart w:id="8" w:name="_Toc17376"/>
      <w:r>
        <w:rPr>
          <w:rFonts w:hint="eastAsia" w:ascii="宋体" w:hAnsi="宋体" w:eastAsia="宋体" w:cs="宋体"/>
          <w:b/>
          <w:bCs/>
          <w:kern w:val="0"/>
          <w:szCs w:val="21"/>
          <w:highlight w:val="none"/>
        </w:rPr>
        <w:t>九、采购标的的其他技术、服务等要求</w:t>
      </w:r>
      <w:bookmarkEnd w:id="8"/>
    </w:p>
    <w:p>
      <w:pPr>
        <w:spacing w:line="360" w:lineRule="auto"/>
        <w:rPr>
          <w:rFonts w:ascii="宋体" w:hAnsi="宋体" w:eastAsia="宋体" w:cs="宋体"/>
          <w:szCs w:val="21"/>
          <w:highlight w:val="none"/>
        </w:rPr>
      </w:pPr>
      <w:r>
        <w:rPr>
          <w:rFonts w:hint="eastAsia" w:ascii="宋体" w:hAnsi="宋体" w:eastAsia="宋体" w:cs="宋体"/>
          <w:szCs w:val="21"/>
          <w:highlight w:val="none"/>
        </w:rPr>
        <w:t>1、投标人负责货物的安装与调试，提供操作培训和技术支持，终身维护。为保证采购人操作人员具备独立操作、故障处理、日常测试和维护保养等工作能力，投标人应委派具备同类项目培训应用经验的培训人员，并提供人员培训服务方案。</w:t>
      </w:r>
    </w:p>
    <w:p>
      <w:pPr>
        <w:spacing w:line="360" w:lineRule="auto"/>
        <w:rPr>
          <w:rFonts w:ascii="宋体" w:hAnsi="宋体" w:eastAsia="宋体" w:cs="宋体"/>
          <w:szCs w:val="21"/>
          <w:highlight w:val="none"/>
        </w:rPr>
      </w:pPr>
      <w:r>
        <w:rPr>
          <w:rFonts w:hint="eastAsia" w:ascii="宋体" w:hAnsi="宋体" w:eastAsia="宋体" w:cs="宋体"/>
          <w:szCs w:val="21"/>
          <w:highlight w:val="none"/>
        </w:rPr>
        <w:t>2、投标人应保证所提供的货物是全新的、未使用过的，并完全符合采购文件规定的质量、规格要求。</w:t>
      </w:r>
    </w:p>
    <w:p>
      <w:pPr>
        <w:spacing w:line="360" w:lineRule="auto"/>
        <w:rPr>
          <w:rFonts w:ascii="宋体" w:hAnsi="宋体" w:eastAsia="宋体" w:cs="宋体"/>
          <w:szCs w:val="21"/>
          <w:highlight w:val="none"/>
        </w:rPr>
      </w:pPr>
      <w:r>
        <w:rPr>
          <w:rFonts w:hint="eastAsia" w:ascii="宋体" w:hAnsi="宋体" w:eastAsia="宋体" w:cs="宋体"/>
          <w:szCs w:val="21"/>
          <w:highlight w:val="none"/>
        </w:rPr>
        <w:t>3、投标人应在投标文件中提供所投产品（附货物图片）的彩色技术说明书，提供产品结构件检测报告及售后服务承诺函。</w:t>
      </w:r>
    </w:p>
    <w:p>
      <w:pPr>
        <w:spacing w:line="360" w:lineRule="auto"/>
        <w:rPr>
          <w:rFonts w:ascii="宋体" w:hAnsi="宋体" w:eastAsia="宋体" w:cs="宋体"/>
          <w:szCs w:val="21"/>
          <w:highlight w:val="none"/>
        </w:rPr>
      </w:pPr>
      <w:r>
        <w:rPr>
          <w:rFonts w:hint="eastAsia" w:ascii="宋体" w:hAnsi="宋体" w:eastAsia="宋体" w:cs="宋体"/>
          <w:szCs w:val="21"/>
          <w:highlight w:val="none"/>
        </w:rPr>
        <w:t>4、包装：除合同另有规定外，卖方提供的所有单独包装的货物均应具有原始的、完好的标准包装。如遇交付前已拆封货物，买方有权拒绝接受或要求更换。每个包装箱内的装箱清单、使用说明书及质量证书等所有资料均应齐全。</w:t>
      </w:r>
    </w:p>
    <w:p>
      <w:pPr>
        <w:spacing w:line="360" w:lineRule="auto"/>
        <w:rPr>
          <w:rFonts w:ascii="宋体" w:hAnsi="宋体" w:eastAsia="宋体" w:cs="宋体"/>
          <w:szCs w:val="21"/>
          <w:highlight w:val="none"/>
        </w:rPr>
      </w:pPr>
      <w:r>
        <w:rPr>
          <w:rFonts w:hint="eastAsia" w:ascii="宋体" w:hAnsi="宋体" w:eastAsia="宋体" w:cs="宋体"/>
          <w:szCs w:val="21"/>
          <w:highlight w:val="none"/>
        </w:rPr>
        <w:t>5、投标人应列出售后服务的详细情况及所有优惠项目。</w:t>
      </w:r>
    </w:p>
    <w:p>
      <w:pPr>
        <w:spacing w:line="360" w:lineRule="auto"/>
        <w:rPr>
          <w:rFonts w:ascii="宋体" w:hAnsi="宋体" w:eastAsia="宋体" w:cs="宋体"/>
          <w:szCs w:val="21"/>
          <w:highlight w:val="none"/>
        </w:rPr>
      </w:pPr>
      <w:r>
        <w:rPr>
          <w:rFonts w:hint="eastAsia" w:ascii="宋体" w:hAnsi="宋体" w:eastAsia="宋体" w:cs="宋体"/>
          <w:b/>
          <w:bCs/>
          <w:szCs w:val="21"/>
          <w:highlight w:val="none"/>
        </w:rPr>
        <w:t>★6、投标人应按表格序号的所有货物分别报价，且报价满足以下要求（投标人针对本条款的响应根据其实际情况在其投标文件中提供满足此要求的承诺）</w:t>
      </w:r>
      <w:r>
        <w:rPr>
          <w:rFonts w:hint="eastAsia" w:ascii="宋体" w:hAnsi="宋体" w:eastAsia="宋体" w:cs="宋体"/>
          <w:szCs w:val="21"/>
          <w:highlight w:val="none"/>
        </w:rPr>
        <w:t>：</w:t>
      </w:r>
    </w:p>
    <w:p>
      <w:pPr>
        <w:spacing w:line="360" w:lineRule="auto"/>
        <w:rPr>
          <w:rFonts w:ascii="宋体" w:hAnsi="宋体" w:eastAsia="宋体" w:cs="宋体"/>
          <w:b/>
          <w:bCs/>
          <w:szCs w:val="21"/>
          <w:highlight w:val="none"/>
        </w:rPr>
      </w:pPr>
      <w:r>
        <w:rPr>
          <w:rFonts w:hint="eastAsia" w:ascii="宋体" w:hAnsi="宋体" w:eastAsia="宋体" w:cs="宋体"/>
          <w:b/>
          <w:bCs/>
          <w:szCs w:val="21"/>
          <w:highlight w:val="none"/>
        </w:rPr>
        <w:t>（1）投标人的报价应包含为完成本采购文件提出的新设备的供货、安装、部署、调试、售后服务等全部相关工作所有可能发生的费用，即总报价为“交钥匙”价。对在合同实施过程中可能发生的其他费用（如：增加耗材（辅材）、材料涨价、人工、运输成本增加等因素），采购人概不负责。</w:t>
      </w:r>
    </w:p>
    <w:p>
      <w:pPr>
        <w:spacing w:line="360" w:lineRule="auto"/>
        <w:rPr>
          <w:rFonts w:ascii="宋体" w:hAnsi="宋体" w:eastAsia="宋体" w:cs="宋体"/>
          <w:b/>
          <w:bCs/>
          <w:szCs w:val="21"/>
          <w:highlight w:val="none"/>
        </w:rPr>
      </w:pPr>
      <w:r>
        <w:rPr>
          <w:rFonts w:hint="eastAsia" w:ascii="宋体" w:hAnsi="宋体" w:eastAsia="宋体" w:cs="宋体"/>
          <w:b/>
          <w:bCs/>
          <w:szCs w:val="21"/>
          <w:highlight w:val="none"/>
        </w:rPr>
        <w:t>（2）本次采购包括了为实现本项目采购货物（设备或系统、软件、平台（如有），全文同）及其相关服务的全部性能（功能）、技术指标、安全性等正常运行（或正常表达）并达到质量要求所需的全部配件、耗材、辅材、安装、施工（如必须的话）、服务等已列明或未列明的全部内容，乙方应在其总报价中充分予以考虑。在本项目采购合同实施中，甲方将不予支付乙方没有列入项目报价清单的任何费用，并认为此类费用已包含在签约合同总金额中。</w:t>
      </w:r>
    </w:p>
    <w:p>
      <w:pPr>
        <w:spacing w:line="360" w:lineRule="auto"/>
        <w:rPr>
          <w:rFonts w:ascii="宋体" w:hAnsi="宋体" w:eastAsia="宋体" w:cs="宋体"/>
          <w:szCs w:val="21"/>
          <w:highlight w:val="none"/>
        </w:rPr>
      </w:pPr>
      <w:r>
        <w:rPr>
          <w:rFonts w:hint="eastAsia" w:ascii="宋体" w:hAnsi="宋体" w:eastAsia="宋体" w:cs="宋体"/>
          <w:b/>
          <w:bCs/>
          <w:szCs w:val="21"/>
          <w:highlight w:val="none"/>
        </w:rPr>
        <w:t>（3）投标人对报价的准确性和完整性负责，任何漏报、错报等均是投标人的风险。</w:t>
      </w:r>
    </w:p>
    <w:p>
      <w:pPr>
        <w:spacing w:line="360" w:lineRule="auto"/>
        <w:rPr>
          <w:rFonts w:ascii="宋体" w:hAnsi="宋体" w:eastAsia="宋体" w:cs="宋体"/>
          <w:b/>
          <w:szCs w:val="21"/>
          <w:highlight w:val="none"/>
        </w:rPr>
      </w:pPr>
      <w:r>
        <w:rPr>
          <w:rFonts w:hint="eastAsia" w:ascii="宋体" w:hAnsi="宋体" w:eastAsia="宋体" w:cs="宋体"/>
          <w:b/>
          <w:szCs w:val="21"/>
          <w:highlight w:val="none"/>
        </w:rPr>
        <w:t>7、投标人所投产品凡需国家强制性认证或认可（如3C认证等）的产品，需在投标文件中提供相应的证书和认可的标志等资料（资料如有有效期的须在有效期内，提供复印件并加盖投标人公章），否则作无效投标处理。</w:t>
      </w:r>
    </w:p>
    <w:p>
      <w:pPr>
        <w:spacing w:line="360" w:lineRule="auto"/>
        <w:rPr>
          <w:rFonts w:ascii="宋体" w:hAnsi="宋体" w:eastAsia="宋体" w:cs="宋体"/>
          <w:szCs w:val="21"/>
          <w:highlight w:val="none"/>
        </w:rPr>
      </w:pPr>
      <w:r>
        <w:rPr>
          <w:rFonts w:hint="eastAsia" w:ascii="宋体" w:hAnsi="宋体" w:eastAsia="宋体" w:cs="宋体"/>
          <w:szCs w:val="21"/>
          <w:highlight w:val="none"/>
        </w:rPr>
        <w:t>8、投标人在货物到货、安装和验收期间应采取严格的安全措施，承担由于自身原因所造成的安全事故责任及其发生的一切费用。</w:t>
      </w:r>
    </w:p>
    <w:p>
      <w:pPr>
        <w:spacing w:line="360" w:lineRule="auto"/>
        <w:rPr>
          <w:rFonts w:ascii="宋体" w:hAnsi="宋体" w:eastAsia="宋体" w:cs="宋体"/>
          <w:szCs w:val="21"/>
          <w:highlight w:val="none"/>
        </w:rPr>
      </w:pPr>
      <w:r>
        <w:rPr>
          <w:rFonts w:hint="eastAsia" w:ascii="宋体" w:hAnsi="宋体" w:eastAsia="宋体" w:cs="宋体"/>
          <w:szCs w:val="21"/>
          <w:highlight w:val="none"/>
        </w:rPr>
        <w:t>9、投标人必须对产品的技术资料、参数等做出说明。</w:t>
      </w:r>
    </w:p>
    <w:p>
      <w:pPr>
        <w:spacing w:line="360" w:lineRule="auto"/>
        <w:rPr>
          <w:rFonts w:ascii="宋体" w:hAnsi="宋体" w:eastAsia="宋体" w:cs="宋体"/>
          <w:b/>
          <w:szCs w:val="21"/>
          <w:highlight w:val="none"/>
        </w:rPr>
      </w:pPr>
      <w:r>
        <w:rPr>
          <w:rFonts w:hint="eastAsia" w:ascii="宋体" w:hAnsi="宋体" w:eastAsia="宋体" w:cs="宋体"/>
          <w:szCs w:val="21"/>
          <w:highlight w:val="none"/>
        </w:rPr>
        <w:t>10、投标人须具备类似项目业绩且取得用户正面反馈；投标人或所投产品制造商须具备科学规范的质量、环境卫生、职业健康管理体系。</w:t>
      </w:r>
    </w:p>
    <w:p>
      <w:pPr>
        <w:spacing w:line="360" w:lineRule="auto"/>
        <w:rPr>
          <w:rFonts w:ascii="宋体" w:hAnsi="宋体" w:eastAsia="宋体" w:cs="宋体"/>
          <w:b/>
          <w:kern w:val="0"/>
          <w:szCs w:val="21"/>
          <w:highlight w:val="none"/>
        </w:rPr>
      </w:pPr>
      <w:r>
        <w:rPr>
          <w:rFonts w:hint="eastAsia" w:ascii="宋体" w:hAnsi="宋体" w:eastAsia="宋体" w:cs="宋体"/>
          <w:b/>
          <w:kern w:val="0"/>
          <w:szCs w:val="21"/>
          <w:highlight w:val="none"/>
        </w:rPr>
        <w:t>★11、软件正版化及知识产权等要求（投标人针对本条款的响应根据其实际情况在其投标文件中提供满足此要求的相应证明文件或承诺）</w:t>
      </w:r>
    </w:p>
    <w:p>
      <w:pPr>
        <w:spacing w:line="360" w:lineRule="auto"/>
        <w:rPr>
          <w:rFonts w:ascii="宋体" w:hAnsi="宋体" w:eastAsia="宋体" w:cs="宋体"/>
          <w:b/>
          <w:kern w:val="0"/>
          <w:szCs w:val="21"/>
          <w:highlight w:val="none"/>
        </w:rPr>
      </w:pPr>
      <w:r>
        <w:rPr>
          <w:rFonts w:hint="eastAsia" w:ascii="宋体" w:hAnsi="宋体" w:eastAsia="宋体" w:cs="宋体"/>
          <w:b/>
          <w:kern w:val="0"/>
          <w:szCs w:val="21"/>
          <w:highlight w:val="none"/>
        </w:rPr>
        <w:t>（1）投标人所投产品如包含（或带有）操作系统、办公软件、杀毒软件、专业软件4类通用软件的，则均应为正版软件，交付采购人使用时须明确前述正版软件的序列号（或许可证）和版本；采购人对投标人针对前述软件的当前版本具有永久正常使用权。</w:t>
      </w:r>
    </w:p>
    <w:p>
      <w:pPr>
        <w:spacing w:line="360" w:lineRule="auto"/>
        <w:rPr>
          <w:rFonts w:ascii="宋体" w:hAnsi="宋体" w:eastAsia="宋体" w:cs="宋体"/>
          <w:b/>
          <w:kern w:val="0"/>
          <w:szCs w:val="21"/>
          <w:highlight w:val="none"/>
        </w:rPr>
      </w:pPr>
      <w:r>
        <w:rPr>
          <w:rFonts w:hint="eastAsia" w:ascii="宋体" w:hAnsi="宋体" w:eastAsia="宋体" w:cs="宋体"/>
          <w:b/>
          <w:kern w:val="0"/>
          <w:szCs w:val="21"/>
          <w:highlight w:val="none"/>
        </w:rPr>
        <w:t>（2）投标人保证其向采购人提供的所有服务及相关产品不会因投标人原因侵犯任何第三方的知识产权和商业秘密。一旦采购人因此遭受到任何第三方的索赔、诉讼或任何权利请求，投标人有义务以采购人的名义自费处理纠纷，并承担由此引起的所有法律和经济责任，包括但不限于诉讼费用、律师费等。</w:t>
      </w:r>
    </w:p>
    <w:p>
      <w:pPr>
        <w:spacing w:line="360" w:lineRule="auto"/>
        <w:rPr>
          <w:rFonts w:ascii="宋体" w:hAnsi="宋体" w:eastAsia="宋体" w:cs="宋体"/>
          <w:b/>
          <w:kern w:val="0"/>
          <w:szCs w:val="21"/>
          <w:highlight w:val="none"/>
        </w:rPr>
      </w:pPr>
      <w:r>
        <w:rPr>
          <w:rFonts w:hint="eastAsia" w:ascii="宋体" w:hAnsi="宋体" w:eastAsia="宋体" w:cs="宋体"/>
          <w:b/>
          <w:kern w:val="0"/>
          <w:szCs w:val="21"/>
          <w:highlight w:val="none"/>
        </w:rPr>
        <w:t>（3）乙方有责任保护甲方的合法知识产权，对接触到的有关甲方的电子数据、纸质档案等资料应当严格保密，不准泄漏。乙方与甲方须签订安全保密协议，驻场服务人员必须严格执行协议约定条款，确保甲方信息数据安全、保密，出现违反协议规定的，乙方承担违规行为造成的一切责任。</w:t>
      </w:r>
    </w:p>
    <w:p>
      <w:pPr>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12、投标人所投的产品如属于《节能产品政府采购品目清单》中“政府强制采购产品”的（如：计算机设备、激光打印机等），投标人所投产品必须符合国家相关政策要求，并在投标文件中提供认证证书（证书如有有效期的须在有效期内，提供复印件并加盖投标人公章），否则作无效投标处理。</w:t>
      </w:r>
    </w:p>
    <w:p>
      <w:pPr>
        <w:spacing w:line="360" w:lineRule="auto"/>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13．投标人一旦中标，在项目建设中应严格按照规范、有关技术要求及技术方案精心组织安装，对所有安装施工作业、方法的完备性和安全可靠性负责，确保工程及人员、材料、设备和设施的安全。特殊作业（含电工、电焊工）人员需依法持有效证件上岗作业。投标人应为其派出本项目作业或提供服务的人员办理工伤保险，承担因本合同安装、施工项下造成的人身伤害和财产损失。（投标人针对本条款的响应根据其实际情况在其投标文件中提供满足此要求的承诺）</w:t>
      </w:r>
    </w:p>
    <w:p>
      <w:pPr>
        <w:spacing w:line="360" w:lineRule="auto"/>
        <w:rPr>
          <w:rFonts w:ascii="宋体" w:hAnsi="宋体" w:eastAsia="宋体" w:cs="宋体"/>
          <w:b/>
          <w:szCs w:val="21"/>
          <w:highlight w:val="none"/>
        </w:rPr>
      </w:pPr>
      <w:r>
        <w:rPr>
          <w:rFonts w:hint="eastAsia" w:ascii="宋体" w:hAnsi="宋体" w:eastAsia="宋体" w:cs="宋体"/>
          <w:b/>
          <w:szCs w:val="21"/>
          <w:highlight w:val="none"/>
          <w:lang w:val="en-US" w:eastAsia="zh-CN"/>
        </w:rPr>
        <w:t>★14.投标人根据招标文件的相关要求在其投标文件中针对采购需求的技术参数响应实行承诺的，一旦中标，合同签订生效后，设备发货前，中标人应主动向采购人提供所投设备的技术参数证明材料（且证明材料中的指标应与投标文件一致），证明材料可为：所投设备制造商盖章的技术指标证明材料或其提供的含技术指标的产品宣传（彩）页或者其官网的相应技术指标的网页（带网址信息，可复查）截图或具有相关检测资质的第三方机构出具的含相关技术指标的检测报告。若未按此承诺提供证明材料或虽提供但证明材料载明的实际技术参数与投标文件不一致的，采购人均有权拒绝接受供货，中标人愿自行承担所造成全部后果。（投标人针对本条款的响应根据其实际情况在其投标文件中提供满足此要求的相应承诺）。</w:t>
      </w:r>
    </w:p>
    <w:p>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6A0B0"/>
    <w:multiLevelType w:val="singleLevel"/>
    <w:tmpl w:val="EEF6A0B0"/>
    <w:lvl w:ilvl="0" w:tentative="0">
      <w:start w:val="1"/>
      <w:numFmt w:val="decimal"/>
      <w:suff w:val="nothing"/>
      <w:lvlText w:val="%1、"/>
      <w:lvlJc w:val="left"/>
      <w:pPr>
        <w:ind w:left="-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hZDNiNDVlNzcxZWZhODYyNGVjZjE1YTNhYjI1MjUifQ=="/>
  </w:docVars>
  <w:rsids>
    <w:rsidRoot w:val="00000000"/>
    <w:rsid w:val="5EC71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2026-03-18T01:17:31Z</dcterms:created>
  <dc:creator>华为</dc:creator>
  <cp:lastModifiedBy>czy</cp:lastModifiedBy>
  <dcterms:modified xsi:type="dcterms:W3CDTF">2026-03-18T01:17:45Z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D64D9AE9B12F4482B1EC0D35910E33D6</vt:lpwstr>
  </property>
</Properties>
</file>