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D077">
      <w:pPr>
        <w:keepNext/>
        <w:keepLines/>
        <w:widowControl w:val="0"/>
        <w:autoSpaceDE/>
        <w:autoSpaceDN/>
        <w:adjustRightInd/>
        <w:spacing w:before="0" w:beforeLines="0" w:after="0" w:afterLines="0" w:line="360" w:lineRule="auto"/>
        <w:jc w:val="center"/>
        <w:outlineLvl w:val="0"/>
        <w:rPr>
          <w:rFonts w:hint="eastAsia" w:ascii="微软雅黑" w:hAnsi="微软雅黑" w:eastAsia="微软雅黑" w:cs="微软雅黑"/>
          <w:b/>
          <w:bCs/>
          <w:color w:val="auto"/>
          <w:kern w:val="44"/>
          <w:sz w:val="32"/>
          <w:szCs w:val="32"/>
          <w:highlight w:val="none"/>
          <w:lang w:val="en-US" w:eastAsia="zh-CN" w:bidi="ar-SA"/>
        </w:rPr>
      </w:pPr>
      <w:bookmarkStart w:id="6" w:name="_GoBack"/>
      <w:bookmarkEnd w:id="6"/>
      <w:bookmarkStart w:id="0" w:name="_Toc60575558"/>
      <w:bookmarkStart w:id="1" w:name="_Toc31258"/>
      <w:bookmarkStart w:id="2" w:name="_Toc10580"/>
      <w:bookmarkStart w:id="3" w:name="_Hlk188555498"/>
      <w:bookmarkStart w:id="4" w:name="_Hlk55413324"/>
      <w:r>
        <w:rPr>
          <w:rFonts w:hint="eastAsia" w:ascii="微软雅黑" w:hAnsi="微软雅黑" w:eastAsia="微软雅黑" w:cs="微软雅黑"/>
          <w:b/>
          <w:bCs/>
          <w:color w:val="auto"/>
          <w:kern w:val="44"/>
          <w:sz w:val="32"/>
          <w:szCs w:val="32"/>
          <w:highlight w:val="none"/>
          <w:lang w:val="en-US" w:eastAsia="zh-CN" w:bidi="ar-SA"/>
        </w:rPr>
        <w:t>项目采购需求</w:t>
      </w:r>
      <w:bookmarkEnd w:id="0"/>
      <w:bookmarkEnd w:id="1"/>
      <w:bookmarkEnd w:id="2"/>
    </w:p>
    <w:p w14:paraId="536FA0C4">
      <w:pPr>
        <w:spacing w:line="360" w:lineRule="auto"/>
        <w:ind w:firstLine="400" w:firstLineChars="166"/>
        <w:rPr>
          <w:rFonts w:hint="eastAsia" w:ascii="宋体" w:hAnsi="宋体" w:eastAsia="宋体" w:cs="宋体"/>
          <w:b/>
          <w:bCs/>
          <w:color w:val="auto"/>
          <w:kern w:val="2"/>
          <w:sz w:val="24"/>
          <w:szCs w:val="24"/>
          <w:highlight w:val="none"/>
        </w:rPr>
      </w:pPr>
      <w:r>
        <w:rPr>
          <w:rFonts w:hint="eastAsia" w:ascii="Times New Roman" w:hAnsi="Times New Roman" w:eastAsia="宋体" w:cs="Times New Roman"/>
          <w:b/>
          <w:bCs/>
          <w:color w:val="auto"/>
          <w:kern w:val="0"/>
          <w:sz w:val="24"/>
          <w:szCs w:val="24"/>
          <w:highlight w:val="none"/>
          <w:lang w:val="zh-CN"/>
        </w:rPr>
        <w:t>本章中标注“★”的条款为必须满足的实质性要求，</w:t>
      </w:r>
      <w:r>
        <w:rPr>
          <w:rFonts w:hint="eastAsia" w:ascii="Times New Roman" w:hAnsi="Times New Roman" w:eastAsia="宋体" w:cs="Times New Roman"/>
          <w:b/>
          <w:bCs/>
          <w:color w:val="auto"/>
          <w:kern w:val="0"/>
          <w:sz w:val="24"/>
          <w:szCs w:val="24"/>
          <w:highlight w:val="none"/>
          <w:lang w:val="en-US" w:eastAsia="zh-CN"/>
        </w:rPr>
        <w:t>供应商</w:t>
      </w:r>
      <w:r>
        <w:rPr>
          <w:rFonts w:hint="eastAsia" w:ascii="Times New Roman" w:hAnsi="Times New Roman" w:eastAsia="宋体" w:cs="Times New Roman"/>
          <w:b/>
          <w:bCs/>
          <w:color w:val="auto"/>
          <w:kern w:val="0"/>
          <w:sz w:val="24"/>
          <w:szCs w:val="24"/>
          <w:highlight w:val="none"/>
          <w:lang w:val="zh-CN"/>
        </w:rPr>
        <w:t>响应文件有一项未满足的，其投标按无效投标处理（符合性审查不通过）。供应商针对标注“★”条款的响应：若</w:t>
      </w:r>
      <w:r>
        <w:rPr>
          <w:rFonts w:hint="eastAsia" w:ascii="Times New Roman" w:hAnsi="Times New Roman" w:eastAsia="宋体" w:cs="Times New Roman"/>
          <w:b/>
          <w:bCs/>
          <w:color w:val="auto"/>
          <w:kern w:val="0"/>
          <w:sz w:val="24"/>
          <w:szCs w:val="24"/>
          <w:highlight w:val="none"/>
          <w:lang w:val="en-US" w:eastAsia="zh-CN"/>
        </w:rPr>
        <w:t>本征集</w:t>
      </w:r>
      <w:r>
        <w:rPr>
          <w:rFonts w:hint="eastAsia" w:ascii="Times New Roman" w:hAnsi="Times New Roman" w:eastAsia="宋体" w:cs="Times New Roman"/>
          <w:b/>
          <w:bCs/>
          <w:color w:val="auto"/>
          <w:kern w:val="0"/>
          <w:sz w:val="24"/>
          <w:szCs w:val="24"/>
          <w:highlight w:val="none"/>
          <w:lang w:val="zh-CN"/>
        </w:rPr>
        <w:t>文件明确要求提供相应证明材料（技术资料）的，供应商应在投标响应文件中按要求提交该等材料并加盖公章，用以证明其满足该条款要求；若未明确要求证明材料（技术资料）的，供应商可提供证明材料，也可提供承诺函并加盖公章，承诺其内容满足该条款要求。未按要求提交或提交的材料无法证明满足该条款，或承诺内容不满足该条款要求的，均视为投标文件对该★条款未满足（符合性审查不通过，投标无效）。</w:t>
      </w:r>
    </w:p>
    <w:p w14:paraId="68515A3A">
      <w:pPr>
        <w:spacing w:line="360" w:lineRule="auto"/>
        <w:ind w:firstLine="400" w:firstLineChars="166"/>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一、项目概况</w:t>
      </w:r>
    </w:p>
    <w:p w14:paraId="0300C451">
      <w:pPr>
        <w:spacing w:line="360" w:lineRule="auto"/>
        <w:ind w:firstLine="398" w:firstLineChars="166"/>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1.项目名称：</w:t>
      </w:r>
      <w:r>
        <w:rPr>
          <w:rFonts w:hint="eastAsia" w:ascii="宋体" w:hAnsi="宋体" w:eastAsia="宋体" w:cs="仿宋_GB2312"/>
          <w:color w:val="auto"/>
          <w:kern w:val="2"/>
          <w:sz w:val="24"/>
          <w:szCs w:val="24"/>
          <w:highlight w:val="none"/>
          <w:lang w:eastAsia="zh-CN"/>
        </w:rPr>
        <w:t>江汉大学2026年预算绩效及财务咨询服务封闭式框架协议采购</w:t>
      </w:r>
    </w:p>
    <w:p w14:paraId="0676DD19">
      <w:pPr>
        <w:spacing w:line="360" w:lineRule="auto"/>
        <w:ind w:firstLine="398" w:firstLineChars="166"/>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2.采购预算：</w:t>
      </w:r>
      <w:r>
        <w:rPr>
          <w:rFonts w:hint="eastAsia" w:ascii="宋体" w:hAnsi="宋体" w:eastAsia="宋体" w:cs="宋体"/>
          <w:color w:val="auto"/>
          <w:kern w:val="2"/>
          <w:sz w:val="24"/>
          <w:szCs w:val="24"/>
          <w:highlight w:val="none"/>
          <w:lang w:val="en-US" w:eastAsia="zh-CN"/>
        </w:rPr>
        <w:t>45</w:t>
      </w:r>
      <w:r>
        <w:rPr>
          <w:rFonts w:hint="eastAsia" w:ascii="宋体" w:hAnsi="宋体" w:eastAsia="宋体" w:cs="宋体"/>
          <w:color w:val="auto"/>
          <w:kern w:val="2"/>
          <w:sz w:val="24"/>
          <w:szCs w:val="24"/>
          <w:highlight w:val="none"/>
        </w:rPr>
        <w:t>万元</w:t>
      </w:r>
      <w:r>
        <w:rPr>
          <w:rFonts w:hint="eastAsia" w:ascii="宋体" w:hAnsi="宋体" w:eastAsia="宋体" w:cs="宋体"/>
          <w:color w:val="auto"/>
          <w:kern w:val="2"/>
          <w:sz w:val="24"/>
          <w:szCs w:val="24"/>
          <w:highlight w:val="none"/>
          <w:lang w:val="en-US" w:eastAsia="zh-CN"/>
        </w:rPr>
        <w:t>/年</w:t>
      </w:r>
    </w:p>
    <w:p w14:paraId="5D23FBF9">
      <w:pPr>
        <w:spacing w:line="360" w:lineRule="auto"/>
        <w:ind w:firstLine="398" w:firstLineChars="166"/>
        <w:rPr>
          <w:rFonts w:hint="eastAsia" w:ascii="宋体" w:hAnsi="宋体" w:eastAsia="宋体" w:cs="宋体"/>
          <w:color w:val="auto"/>
          <w:kern w:val="0"/>
          <w:sz w:val="24"/>
          <w:szCs w:val="24"/>
          <w:highlight w:val="none"/>
          <w:shd w:val="clear" w:color="auto" w:fill="FFFFFF"/>
          <w:lang w:val="zh-CN" w:bidi="zh-CN"/>
        </w:rPr>
      </w:pPr>
      <w:r>
        <w:rPr>
          <w:rFonts w:hint="eastAsia" w:ascii="宋体" w:hAnsi="宋体" w:eastAsia="宋体" w:cs="宋体"/>
          <w:color w:val="auto"/>
          <w:kern w:val="2"/>
          <w:sz w:val="24"/>
          <w:szCs w:val="24"/>
          <w:highlight w:val="none"/>
        </w:rPr>
        <w:t>3.服务内容：入围供应商在本项目框架服务协议约定的服务范围内，接受采购人财务处第二阶段委托的具体</w:t>
      </w:r>
      <w:r>
        <w:rPr>
          <w:rFonts w:hint="eastAsia" w:ascii="宋体" w:hAnsi="宋体" w:eastAsia="宋体" w:cs="宋体"/>
          <w:color w:val="auto"/>
          <w:kern w:val="2"/>
          <w:sz w:val="24"/>
          <w:szCs w:val="24"/>
          <w:highlight w:val="none"/>
          <w:lang w:eastAsia="zh-CN"/>
        </w:rPr>
        <w:t>单项服务项目</w:t>
      </w:r>
      <w:r>
        <w:rPr>
          <w:rFonts w:hint="eastAsia" w:ascii="宋体" w:hAnsi="宋体" w:eastAsia="宋体" w:cs="宋体"/>
          <w:color w:val="auto"/>
          <w:kern w:val="2"/>
          <w:sz w:val="24"/>
          <w:szCs w:val="24"/>
          <w:highlight w:val="none"/>
        </w:rPr>
        <w:t>，根据国家、省、市相关法律法规及行业相关规定要求，依法开展江汉大学</w:t>
      </w:r>
      <w:r>
        <w:rPr>
          <w:rFonts w:hint="eastAsia" w:ascii="宋体" w:hAnsi="宋体" w:eastAsia="宋体" w:cs="仿宋_GB2312"/>
          <w:color w:val="auto"/>
          <w:kern w:val="2"/>
          <w:sz w:val="24"/>
          <w:szCs w:val="24"/>
          <w:highlight w:val="none"/>
          <w:lang w:eastAsia="zh-CN"/>
        </w:rPr>
        <w:t>预算绩效及财务咨询服务</w:t>
      </w:r>
      <w:r>
        <w:rPr>
          <w:rFonts w:hint="eastAsia" w:ascii="宋体" w:hAnsi="宋体" w:eastAsia="宋体" w:cs="仿宋_GB2312"/>
          <w:color w:val="auto"/>
          <w:kern w:val="2"/>
          <w:sz w:val="24"/>
          <w:szCs w:val="24"/>
          <w:highlight w:val="none"/>
          <w:lang w:val="en-US" w:eastAsia="zh-CN"/>
        </w:rPr>
        <w:t>工作，</w:t>
      </w:r>
      <w:r>
        <w:rPr>
          <w:rFonts w:hint="eastAsia" w:ascii="宋体" w:hAnsi="宋体" w:eastAsia="宋体" w:cs="宋体"/>
          <w:color w:val="auto"/>
          <w:kern w:val="2"/>
          <w:sz w:val="24"/>
          <w:szCs w:val="24"/>
          <w:highlight w:val="none"/>
        </w:rPr>
        <w:t>完成受托的相应工作、任务并出具经采购人财务处、采购人相关单位等认可的相应的成果报告，移交完整的</w:t>
      </w:r>
      <w:r>
        <w:rPr>
          <w:rFonts w:hint="eastAsia" w:ascii="宋体" w:hAnsi="宋体" w:eastAsia="宋体" w:cs="宋体"/>
          <w:color w:val="auto"/>
          <w:kern w:val="2"/>
          <w:sz w:val="24"/>
          <w:szCs w:val="24"/>
          <w:highlight w:val="none"/>
          <w:lang w:val="en-US" w:eastAsia="zh-CN"/>
        </w:rPr>
        <w:t>业务</w:t>
      </w:r>
      <w:r>
        <w:rPr>
          <w:rFonts w:hint="eastAsia" w:ascii="宋体" w:hAnsi="宋体" w:eastAsia="宋体" w:cs="宋体"/>
          <w:color w:val="auto"/>
          <w:kern w:val="2"/>
          <w:sz w:val="24"/>
          <w:szCs w:val="24"/>
          <w:highlight w:val="none"/>
          <w:lang w:eastAsia="zh-CN"/>
        </w:rPr>
        <w:t>档案</w:t>
      </w:r>
      <w:r>
        <w:rPr>
          <w:rFonts w:hint="eastAsia" w:ascii="宋体" w:hAnsi="宋体" w:eastAsia="宋体" w:cs="宋体"/>
          <w:color w:val="auto"/>
          <w:kern w:val="2"/>
          <w:sz w:val="24"/>
          <w:szCs w:val="24"/>
          <w:highlight w:val="none"/>
        </w:rPr>
        <w:t>至采购人财务处直到终结</w:t>
      </w:r>
      <w:r>
        <w:rPr>
          <w:rFonts w:hint="eastAsia" w:ascii="宋体" w:hAnsi="宋体" w:eastAsia="宋体" w:cs="宋体"/>
          <w:color w:val="auto"/>
          <w:kern w:val="0"/>
          <w:sz w:val="24"/>
          <w:szCs w:val="24"/>
          <w:highlight w:val="none"/>
          <w:shd w:val="clear" w:color="auto" w:fill="FFFFFF"/>
          <w:lang w:val="zh-CN" w:bidi="zh-CN"/>
        </w:rPr>
        <w:t>。</w:t>
      </w:r>
    </w:p>
    <w:p w14:paraId="11D13B6D">
      <w:pPr>
        <w:spacing w:line="360" w:lineRule="auto"/>
        <w:ind w:firstLine="398" w:firstLineChars="166"/>
        <w:rPr>
          <w:rFonts w:hint="eastAsia" w:ascii="宋体" w:hAnsi="宋体" w:eastAsia="宋体" w:cs="宋体"/>
          <w:color w:val="auto"/>
          <w:kern w:val="0"/>
          <w:sz w:val="24"/>
          <w:szCs w:val="24"/>
          <w:highlight w:val="none"/>
          <w:shd w:val="clear" w:color="auto" w:fill="FFFFFF"/>
          <w:lang w:val="zh-CN" w:bidi="zh-CN"/>
        </w:rPr>
      </w:pPr>
      <w:r>
        <w:rPr>
          <w:rFonts w:hint="eastAsia" w:ascii="宋体" w:hAnsi="宋体" w:eastAsia="宋体" w:cs="仿宋_GB2312"/>
          <w:color w:val="auto"/>
          <w:kern w:val="2"/>
          <w:sz w:val="24"/>
          <w:szCs w:val="24"/>
          <w:highlight w:val="none"/>
          <w:lang w:val="en-US" w:eastAsia="zh-CN"/>
        </w:rPr>
        <w:t>预算绩效管理服务内容主要包括：</w:t>
      </w:r>
      <w:r>
        <w:rPr>
          <w:rFonts w:hint="eastAsia" w:ascii="宋体" w:hAnsi="宋体" w:eastAsia="宋体" w:cs="宋体"/>
          <w:color w:val="auto"/>
          <w:kern w:val="2"/>
          <w:sz w:val="24"/>
          <w:szCs w:val="24"/>
          <w:highlight w:val="none"/>
        </w:rPr>
        <w:t>事前绩效评估、绩效目标审核、绩效监控、绩效评价或绩效评价结果复核、绩效指标和标准体系的制定</w:t>
      </w:r>
      <w:r>
        <w:rPr>
          <w:rFonts w:hint="eastAsia" w:ascii="宋体" w:hAnsi="宋体" w:eastAsia="宋体" w:cs="宋体"/>
          <w:color w:val="auto"/>
          <w:kern w:val="2"/>
          <w:sz w:val="24"/>
          <w:szCs w:val="24"/>
          <w:highlight w:val="none"/>
          <w:lang w:val="en-US" w:eastAsia="zh-CN"/>
        </w:rPr>
        <w:t>等；财务咨询服务内容主要包括：</w:t>
      </w:r>
      <w:r>
        <w:rPr>
          <w:rFonts w:hint="eastAsia" w:ascii="宋体" w:hAnsi="宋体" w:eastAsia="宋体" w:cs="宋体"/>
          <w:color w:val="auto"/>
          <w:kern w:val="2"/>
          <w:sz w:val="24"/>
          <w:szCs w:val="24"/>
          <w:highlight w:val="none"/>
        </w:rPr>
        <w:t>政府债券申报全流程咨询</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包含“一案两书”编制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系统报库辅导）及其他财务咨询服务。</w:t>
      </w:r>
    </w:p>
    <w:p w14:paraId="5464A2C2">
      <w:pPr>
        <w:spacing w:line="360" w:lineRule="auto"/>
        <w:ind w:firstLine="470" w:firstLineChars="195"/>
        <w:rPr>
          <w:rFonts w:hint="eastAsia" w:ascii="宋体" w:hAnsi="宋体" w:eastAsia="宋体" w:cs="宋体"/>
          <w:b/>
          <w:bCs/>
          <w:color w:val="auto"/>
          <w:kern w:val="2"/>
          <w:sz w:val="24"/>
          <w:szCs w:val="24"/>
          <w:highlight w:val="none"/>
        </w:rPr>
      </w:pPr>
    </w:p>
    <w:bookmarkEnd w:id="3"/>
    <w:p w14:paraId="380E2B43">
      <w:pPr>
        <w:spacing w:line="360" w:lineRule="auto"/>
        <w:ind w:firstLine="470" w:firstLineChars="195"/>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二、基本要求</w:t>
      </w:r>
    </w:p>
    <w:p w14:paraId="5970F605">
      <w:pPr>
        <w:widowControl/>
        <w:snapToGrid w:val="0"/>
        <w:spacing w:line="360" w:lineRule="auto"/>
        <w:ind w:firstLine="398" w:firstLineChars="166"/>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1.第一阶段入围供应商的选取</w:t>
      </w:r>
    </w:p>
    <w:p w14:paraId="503EC3BD">
      <w:pPr>
        <w:snapToGrid w:val="0"/>
        <w:spacing w:line="360" w:lineRule="auto"/>
        <w:ind w:firstLine="398" w:firstLineChars="166"/>
        <w:rPr>
          <w:rFonts w:hint="eastAsia" w:ascii="宋体" w:hAnsi="宋体" w:eastAsia="宋体" w:cs="宋体"/>
          <w:b/>
          <w:color w:val="auto"/>
          <w:kern w:val="0"/>
          <w:sz w:val="24"/>
          <w:szCs w:val="24"/>
          <w:highlight w:val="none"/>
          <w:shd w:val="clear" w:color="auto" w:fill="FFFFFF"/>
          <w:lang w:bidi="zh-CN"/>
        </w:rPr>
      </w:pPr>
      <w:r>
        <w:rPr>
          <w:rFonts w:hint="eastAsia" w:ascii="宋体" w:hAnsi="宋体" w:eastAsia="宋体" w:cs="宋体"/>
          <w:bCs/>
          <w:color w:val="auto"/>
          <w:kern w:val="0"/>
          <w:sz w:val="24"/>
          <w:szCs w:val="24"/>
          <w:highlight w:val="none"/>
          <w:shd w:val="clear" w:color="auto" w:fill="FFFFFF"/>
          <w:lang w:bidi="zh-CN"/>
        </w:rPr>
        <w:t>详见征集文件“第五章 评标方法、程序及标准”</w:t>
      </w:r>
    </w:p>
    <w:p w14:paraId="3CD70A23">
      <w:pPr>
        <w:snapToGrid w:val="0"/>
        <w:spacing w:line="360" w:lineRule="auto"/>
        <w:ind w:firstLine="398" w:firstLineChars="166"/>
        <w:rPr>
          <w:rFonts w:hint="eastAsia" w:ascii="宋体" w:hAnsi="宋体" w:eastAsia="宋体" w:cs="宋体"/>
          <w:b/>
          <w:color w:val="auto"/>
          <w:kern w:val="2"/>
          <w:sz w:val="24"/>
          <w:szCs w:val="24"/>
          <w:highlight w:val="none"/>
          <w:lang w:val="zh-CN" w:bidi="zh-CN"/>
        </w:rPr>
      </w:pPr>
      <w:r>
        <w:rPr>
          <w:rFonts w:hint="eastAsia" w:ascii="宋体" w:hAnsi="宋体" w:eastAsia="宋体" w:cs="宋体"/>
          <w:bCs/>
          <w:color w:val="auto"/>
          <w:kern w:val="2"/>
          <w:sz w:val="24"/>
          <w:szCs w:val="24"/>
          <w:highlight w:val="none"/>
        </w:rPr>
        <w:t>2.项目委托分配方式：采购人</w:t>
      </w:r>
      <w:r>
        <w:rPr>
          <w:rFonts w:hint="eastAsia" w:ascii="宋体" w:hAnsi="宋体" w:eastAsia="宋体" w:cs="宋体"/>
          <w:bCs/>
          <w:color w:val="auto"/>
          <w:kern w:val="0"/>
          <w:sz w:val="24"/>
          <w:szCs w:val="24"/>
          <w:highlight w:val="none"/>
          <w:shd w:val="clear" w:color="auto" w:fill="FFFFFF"/>
          <w:lang w:val="zh-CN" w:bidi="zh-CN"/>
        </w:rPr>
        <w:t>在</w:t>
      </w:r>
      <w:r>
        <w:rPr>
          <w:rFonts w:hint="eastAsia" w:ascii="宋体" w:hAnsi="宋体" w:eastAsia="宋体" w:cs="宋体"/>
          <w:bCs/>
          <w:color w:val="auto"/>
          <w:kern w:val="2"/>
          <w:sz w:val="24"/>
          <w:szCs w:val="24"/>
          <w:highlight w:val="none"/>
        </w:rPr>
        <w:t>第一阶段入围</w:t>
      </w:r>
      <w:r>
        <w:rPr>
          <w:rFonts w:hint="eastAsia" w:ascii="宋体" w:hAnsi="宋体" w:eastAsia="宋体" w:cs="宋体"/>
          <w:bCs/>
          <w:color w:val="auto"/>
          <w:kern w:val="0"/>
          <w:sz w:val="24"/>
          <w:szCs w:val="24"/>
          <w:highlight w:val="none"/>
          <w:shd w:val="clear" w:color="auto" w:fill="FFFFFF"/>
          <w:lang w:val="zh-CN" w:bidi="zh-CN"/>
        </w:rPr>
        <w:t>供应商中采取直接选定方式确定</w:t>
      </w:r>
      <w:r>
        <w:rPr>
          <w:rFonts w:hint="eastAsia" w:ascii="宋体" w:hAnsi="宋体" w:eastAsia="宋体" w:cs="宋体"/>
          <w:bCs/>
          <w:color w:val="auto"/>
          <w:kern w:val="2"/>
          <w:sz w:val="24"/>
          <w:szCs w:val="24"/>
          <w:highlight w:val="none"/>
        </w:rPr>
        <w:t>第二阶段成交</w:t>
      </w:r>
      <w:r>
        <w:rPr>
          <w:rFonts w:hint="eastAsia" w:ascii="宋体" w:hAnsi="宋体" w:eastAsia="宋体" w:cs="宋体"/>
          <w:bCs/>
          <w:color w:val="auto"/>
          <w:kern w:val="0"/>
          <w:sz w:val="24"/>
          <w:szCs w:val="24"/>
          <w:highlight w:val="none"/>
          <w:shd w:val="clear" w:color="auto" w:fill="FFFFFF"/>
          <w:lang w:val="zh-CN" w:bidi="zh-CN"/>
        </w:rPr>
        <w:t>供应商。</w:t>
      </w:r>
    </w:p>
    <w:p w14:paraId="534A32C5">
      <w:pPr>
        <w:snapToGrid w:val="0"/>
        <w:spacing w:line="360" w:lineRule="auto"/>
        <w:ind w:firstLine="470" w:firstLineChars="195"/>
        <w:rPr>
          <w:rFonts w:hint="eastAsia" w:ascii="宋体" w:hAnsi="宋体" w:eastAsia="宋体" w:cs="宋体"/>
          <w:color w:val="auto"/>
          <w:kern w:val="2"/>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2"/>
          <w:sz w:val="24"/>
          <w:szCs w:val="24"/>
          <w:highlight w:val="none"/>
        </w:rPr>
        <w:t>3.</w:t>
      </w:r>
      <w:bookmarkStart w:id="5" w:name="_Hlk132294764"/>
      <w:r>
        <w:rPr>
          <w:rFonts w:hint="eastAsia" w:ascii="宋体" w:hAnsi="宋体" w:eastAsia="宋体" w:cs="宋体"/>
          <w:b/>
          <w:bCs/>
          <w:color w:val="auto"/>
          <w:kern w:val="2"/>
          <w:sz w:val="24"/>
          <w:szCs w:val="24"/>
          <w:highlight w:val="none"/>
        </w:rPr>
        <w:t>报价货币及报价（取费费率</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）要求</w:t>
      </w:r>
      <w:bookmarkEnd w:id="5"/>
    </w:p>
    <w:p w14:paraId="0B6F6E95">
      <w:pPr>
        <w:snapToGrid w:val="0"/>
        <w:spacing w:line="360" w:lineRule="auto"/>
        <w:ind w:firstLine="470" w:firstLineChars="195"/>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供应商报价采用人民币报价。报价须包含完成</w:t>
      </w:r>
      <w:r>
        <w:rPr>
          <w:rFonts w:hint="eastAsia" w:ascii="宋体" w:hAnsi="宋体" w:eastAsia="宋体" w:cs="宋体"/>
          <w:b/>
          <w:bCs/>
          <w:color w:val="auto"/>
          <w:kern w:val="2"/>
          <w:sz w:val="24"/>
          <w:szCs w:val="24"/>
          <w:highlight w:val="none"/>
          <w:lang w:val="en-US" w:eastAsia="zh-CN"/>
        </w:rPr>
        <w:t>本项目框架协议约定的第二阶段采购人财务处委托的</w:t>
      </w:r>
      <w:r>
        <w:rPr>
          <w:rFonts w:hint="eastAsia" w:ascii="宋体" w:hAnsi="宋体" w:eastAsia="宋体" w:cs="宋体"/>
          <w:b/>
          <w:bCs/>
          <w:color w:val="auto"/>
          <w:kern w:val="2"/>
          <w:sz w:val="24"/>
          <w:szCs w:val="24"/>
          <w:highlight w:val="none"/>
        </w:rPr>
        <w:t>相关服务工作的全部费用，包含但不限于服务应收费、税费、人员劳务费、保险费、交通费、技术指导费、供应商派出本项目工作人员在采购人</w:t>
      </w:r>
      <w:r>
        <w:rPr>
          <w:rFonts w:hint="eastAsia" w:ascii="宋体" w:hAnsi="宋体" w:eastAsia="宋体" w:cs="宋体"/>
          <w:b/>
          <w:bCs/>
          <w:color w:val="auto"/>
          <w:kern w:val="2"/>
          <w:sz w:val="24"/>
          <w:szCs w:val="24"/>
          <w:highlight w:val="none"/>
          <w:lang w:val="en-US" w:eastAsia="zh-CN"/>
        </w:rPr>
        <w:t>单位</w:t>
      </w:r>
      <w:r>
        <w:rPr>
          <w:rFonts w:hint="eastAsia" w:ascii="宋体" w:hAnsi="宋体" w:eastAsia="宋体" w:cs="宋体"/>
          <w:b/>
          <w:bCs/>
          <w:color w:val="auto"/>
          <w:kern w:val="2"/>
          <w:sz w:val="24"/>
          <w:szCs w:val="24"/>
          <w:highlight w:val="none"/>
        </w:rPr>
        <w:t>内发生的事故由此产生的一切费用等的所有费用。</w:t>
      </w:r>
    </w:p>
    <w:p w14:paraId="1FD10009">
      <w:pPr>
        <w:snapToGrid w:val="0"/>
        <w:spacing w:line="360" w:lineRule="auto"/>
        <w:ind w:firstLine="470" w:firstLineChars="195"/>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供应商应</w:t>
      </w:r>
      <w:r>
        <w:rPr>
          <w:rFonts w:hint="eastAsia" w:ascii="宋体" w:hAnsi="宋体" w:eastAsia="宋体" w:cs="宋体"/>
          <w:b/>
          <w:bCs/>
          <w:color w:val="auto"/>
          <w:kern w:val="2"/>
          <w:sz w:val="24"/>
          <w:szCs w:val="24"/>
          <w:highlight w:val="none"/>
          <w:lang w:val="en-US" w:eastAsia="zh-CN"/>
        </w:rPr>
        <w:t>以</w:t>
      </w:r>
      <w:r>
        <w:rPr>
          <w:rFonts w:hint="eastAsia" w:ascii="宋体" w:hAnsi="宋体" w:eastAsia="宋体" w:cs="宋体"/>
          <w:b/>
          <w:bCs/>
          <w:color w:val="auto"/>
          <w:kern w:val="2"/>
          <w:sz w:val="24"/>
          <w:szCs w:val="24"/>
          <w:highlight w:val="none"/>
        </w:rPr>
        <w:t>本章附件载明的收费标准（以下简称收费标准）</w:t>
      </w:r>
      <w:r>
        <w:rPr>
          <w:rFonts w:hint="eastAsia" w:ascii="宋体" w:hAnsi="宋体" w:eastAsia="宋体" w:cs="宋体"/>
          <w:b/>
          <w:bCs/>
          <w:color w:val="auto"/>
          <w:kern w:val="2"/>
          <w:sz w:val="24"/>
          <w:szCs w:val="24"/>
          <w:highlight w:val="none"/>
          <w:lang w:val="en-US" w:eastAsia="zh-CN"/>
        </w:rPr>
        <w:t>为基准价进行</w:t>
      </w:r>
      <w:r>
        <w:rPr>
          <w:rFonts w:hint="eastAsia" w:ascii="宋体" w:hAnsi="宋体" w:eastAsia="宋体" w:cs="宋体"/>
          <w:b/>
          <w:bCs/>
          <w:color w:val="auto"/>
          <w:kern w:val="2"/>
          <w:sz w:val="24"/>
          <w:szCs w:val="24"/>
          <w:highlight w:val="none"/>
        </w:rPr>
        <w:t>费率</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报价（费率</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不得超过100%）。</w:t>
      </w:r>
      <w:r>
        <w:rPr>
          <w:rFonts w:hint="eastAsia" w:ascii="宋体" w:hAnsi="宋体" w:eastAsia="宋体" w:cs="宋体"/>
          <w:b/>
          <w:bCs/>
          <w:color w:val="auto"/>
          <w:kern w:val="2"/>
          <w:sz w:val="24"/>
          <w:szCs w:val="24"/>
          <w:highlight w:val="none"/>
          <w:lang w:eastAsia="zh-CN"/>
        </w:rPr>
        <w:t>单项项目服务费</w:t>
      </w:r>
      <w:r>
        <w:rPr>
          <w:rFonts w:hint="eastAsia" w:ascii="宋体" w:hAnsi="宋体" w:eastAsia="宋体" w:cs="宋体"/>
          <w:b/>
          <w:bCs/>
          <w:color w:val="auto"/>
          <w:kern w:val="2"/>
          <w:sz w:val="24"/>
          <w:szCs w:val="24"/>
          <w:highlight w:val="none"/>
        </w:rPr>
        <w:t>为按照收费标准计算出的</w:t>
      </w:r>
      <w:r>
        <w:rPr>
          <w:rFonts w:hint="eastAsia" w:ascii="宋体" w:hAnsi="宋体" w:eastAsia="宋体" w:cs="宋体"/>
          <w:b/>
          <w:bCs/>
          <w:color w:val="auto"/>
          <w:kern w:val="2"/>
          <w:sz w:val="24"/>
          <w:szCs w:val="24"/>
          <w:highlight w:val="none"/>
          <w:lang w:eastAsia="zh-CN"/>
        </w:rPr>
        <w:t>服务费</w:t>
      </w:r>
      <w:r>
        <w:rPr>
          <w:rFonts w:hint="eastAsia" w:ascii="宋体" w:hAnsi="宋体" w:eastAsia="宋体" w:cs="宋体"/>
          <w:b/>
          <w:bCs/>
          <w:color w:val="auto"/>
          <w:kern w:val="2"/>
          <w:sz w:val="24"/>
          <w:szCs w:val="24"/>
          <w:highlight w:val="none"/>
        </w:rPr>
        <w:t>乘以入围供应商</w:t>
      </w:r>
      <w:r>
        <w:rPr>
          <w:rFonts w:hint="eastAsia" w:ascii="宋体" w:hAnsi="宋体" w:eastAsia="宋体" w:cs="宋体"/>
          <w:b/>
          <w:bCs/>
          <w:color w:val="auto"/>
          <w:kern w:val="2"/>
          <w:sz w:val="24"/>
          <w:szCs w:val="24"/>
          <w:highlight w:val="none"/>
          <w:lang w:eastAsia="zh-CN"/>
        </w:rPr>
        <w:t>本项目框架协议</w:t>
      </w:r>
      <w:r>
        <w:rPr>
          <w:rFonts w:hint="eastAsia" w:ascii="宋体" w:hAnsi="宋体" w:eastAsia="宋体" w:cs="宋体"/>
          <w:b/>
          <w:bCs/>
          <w:color w:val="auto"/>
          <w:kern w:val="2"/>
          <w:sz w:val="24"/>
          <w:szCs w:val="24"/>
          <w:highlight w:val="none"/>
        </w:rPr>
        <w:t>约定的取费费率</w:t>
      </w:r>
      <w:r>
        <w:rPr>
          <w:rFonts w:hint="eastAsia" w:ascii="宋体" w:hAnsi="宋体" w:eastAsia="宋体" w:cs="宋体"/>
          <w:b/>
          <w:bCs/>
          <w:color w:val="auto"/>
          <w:kern w:val="2"/>
          <w:sz w:val="24"/>
          <w:szCs w:val="24"/>
          <w:highlight w:val="none"/>
          <w:lang w:eastAsia="zh-CN"/>
        </w:rPr>
        <w:t>（即本项目征集阶段入围供应商最终报价（取费费率（%）））</w:t>
      </w:r>
      <w:r>
        <w:rPr>
          <w:rFonts w:hint="eastAsia" w:ascii="宋体" w:hAnsi="宋体" w:eastAsia="宋体" w:cs="宋体"/>
          <w:b/>
          <w:bCs/>
          <w:color w:val="auto"/>
          <w:kern w:val="2"/>
          <w:sz w:val="24"/>
          <w:szCs w:val="24"/>
          <w:highlight w:val="none"/>
        </w:rPr>
        <w:t>。</w:t>
      </w:r>
    </w:p>
    <w:p w14:paraId="39C7A502">
      <w:pPr>
        <w:snapToGrid w:val="0"/>
        <w:spacing w:line="360" w:lineRule="auto"/>
        <w:ind w:firstLine="470" w:firstLineChars="195"/>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rPr>
        <w:t>供应商报价</w:t>
      </w:r>
      <w:r>
        <w:rPr>
          <w:rFonts w:hint="eastAsia" w:ascii="宋体" w:hAnsi="宋体" w:eastAsia="宋体" w:cs="宋体"/>
          <w:b/>
          <w:bCs/>
          <w:color w:val="auto"/>
          <w:kern w:val="2"/>
          <w:sz w:val="24"/>
          <w:szCs w:val="24"/>
          <w:highlight w:val="none"/>
          <w:lang w:eastAsia="zh-CN"/>
        </w:rPr>
        <w:t>（取费费率（%））</w:t>
      </w:r>
      <w:r>
        <w:rPr>
          <w:rFonts w:hint="eastAsia" w:ascii="宋体" w:hAnsi="宋体" w:eastAsia="宋体" w:cs="宋体"/>
          <w:b/>
          <w:bCs/>
          <w:color w:val="auto"/>
          <w:kern w:val="2"/>
          <w:sz w:val="24"/>
          <w:szCs w:val="24"/>
          <w:highlight w:val="none"/>
          <w:lang w:val="en-US" w:eastAsia="zh-CN"/>
        </w:rPr>
        <w:t>在整个框架协议有效期固定不变，不因市场行情、人力成本增加而变动。供应商应充分考虑此风险。</w:t>
      </w:r>
    </w:p>
    <w:p w14:paraId="07B94630">
      <w:pPr>
        <w:spacing w:line="360" w:lineRule="auto"/>
        <w:ind w:firstLine="470" w:firstLineChars="195"/>
        <w:rPr>
          <w:rFonts w:hint="eastAsia" w:ascii="宋体" w:hAnsi="宋体" w:eastAsia="宋体" w:cs="宋体"/>
          <w:color w:val="auto"/>
          <w:kern w:val="2"/>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2"/>
          <w:sz w:val="24"/>
          <w:szCs w:val="24"/>
          <w:highlight w:val="none"/>
        </w:rPr>
        <w:t>4.服务费付款方式</w:t>
      </w:r>
    </w:p>
    <w:p w14:paraId="21D37D20">
      <w:pPr>
        <w:adjustRightInd w:val="0"/>
        <w:snapToGrid w:val="0"/>
        <w:spacing w:line="360" w:lineRule="auto"/>
        <w:ind w:firstLine="482" w:firstLineChars="20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详见本征集文件“</w:t>
      </w:r>
      <w:r>
        <w:rPr>
          <w:rFonts w:hint="eastAsia" w:ascii="宋体" w:hAnsi="宋体" w:eastAsia="宋体" w:cs="宋体"/>
          <w:b/>
          <w:bCs/>
          <w:color w:val="auto"/>
          <w:kern w:val="2"/>
          <w:sz w:val="24"/>
          <w:szCs w:val="24"/>
          <w:highlight w:val="none"/>
        </w:rPr>
        <w:t>第二章 供应商须知</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的“</w:t>
      </w:r>
      <w:r>
        <w:rPr>
          <w:rFonts w:hint="eastAsia" w:ascii="宋体" w:hAnsi="宋体" w:eastAsia="宋体" w:cs="宋体"/>
          <w:b/>
          <w:bCs/>
          <w:color w:val="auto"/>
          <w:kern w:val="2"/>
          <w:sz w:val="24"/>
          <w:szCs w:val="24"/>
          <w:highlight w:val="none"/>
        </w:rPr>
        <w:t>一、供应商须知前附表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的“条款号1.3.3 付款方式”相关内容。</w:t>
      </w:r>
    </w:p>
    <w:p w14:paraId="6B948A37">
      <w:pPr>
        <w:adjustRightInd w:val="0"/>
        <w:snapToGrid w:val="0"/>
        <w:spacing w:line="360" w:lineRule="auto"/>
        <w:ind w:firstLine="482" w:firstLineChars="200"/>
        <w:rPr>
          <w:rFonts w:hint="eastAsia" w:ascii="宋体" w:hAnsi="宋体" w:eastAsia="宋体" w:cs="宋体"/>
          <w:color w:val="auto"/>
          <w:kern w:val="2"/>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2"/>
          <w:sz w:val="24"/>
          <w:szCs w:val="24"/>
          <w:highlight w:val="none"/>
        </w:rPr>
        <w:t>5.合同履行期限</w:t>
      </w:r>
    </w:p>
    <w:p w14:paraId="4163F388">
      <w:pPr>
        <w:adjustRightInd w:val="0"/>
        <w:snapToGrid w:val="0"/>
        <w:spacing w:line="360" w:lineRule="auto"/>
        <w:ind w:firstLine="482" w:firstLineChars="200"/>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详见本征集文件“</w:t>
      </w:r>
      <w:r>
        <w:rPr>
          <w:rFonts w:hint="eastAsia" w:ascii="宋体" w:hAnsi="宋体" w:eastAsia="宋体" w:cs="宋体"/>
          <w:b/>
          <w:bCs/>
          <w:color w:val="auto"/>
          <w:kern w:val="2"/>
          <w:sz w:val="24"/>
          <w:szCs w:val="24"/>
          <w:highlight w:val="none"/>
        </w:rPr>
        <w:t>第二章 供应商须知</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的“</w:t>
      </w:r>
      <w:r>
        <w:rPr>
          <w:rFonts w:hint="eastAsia" w:ascii="宋体" w:hAnsi="宋体" w:eastAsia="宋体" w:cs="宋体"/>
          <w:b/>
          <w:bCs/>
          <w:color w:val="auto"/>
          <w:kern w:val="2"/>
          <w:sz w:val="24"/>
          <w:szCs w:val="24"/>
          <w:highlight w:val="none"/>
        </w:rPr>
        <w:t>一、供应商须知前附表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的“条款号1.3.2 合同履行期限”相关内容。</w:t>
      </w:r>
    </w:p>
    <w:p w14:paraId="244367DA">
      <w:pPr>
        <w:adjustRightInd w:val="0"/>
        <w:snapToGrid w:val="0"/>
        <w:spacing w:line="360" w:lineRule="auto"/>
        <w:ind w:firstLine="482" w:firstLineChars="200"/>
        <w:rPr>
          <w:rFonts w:hint="default" w:ascii="宋体" w:hAnsi="宋体" w:eastAsia="宋体" w:cs="宋体"/>
          <w:b/>
          <w:bCs/>
          <w:color w:val="auto"/>
          <w:kern w:val="2"/>
          <w:sz w:val="24"/>
          <w:szCs w:val="24"/>
          <w:highlight w:val="none"/>
          <w:lang w:val="en-US"/>
        </w:rPr>
      </w:pPr>
      <w:r>
        <w:rPr>
          <w:rFonts w:hint="eastAsia" w:ascii="宋体" w:hAnsi="宋体" w:eastAsia="宋体" w:cs="宋体"/>
          <w:b/>
          <w:bCs/>
          <w:color w:val="auto"/>
          <w:kern w:val="2"/>
          <w:sz w:val="24"/>
          <w:szCs w:val="24"/>
          <w:highlight w:val="none"/>
          <w:lang w:val="en-US" w:eastAsia="zh-CN"/>
        </w:rPr>
        <w:t>6.在框架协议服务期内，根据采购人的具体委托业务，签订单项项目服务合同。</w:t>
      </w:r>
    </w:p>
    <w:p w14:paraId="4ACE4068">
      <w:pPr>
        <w:spacing w:line="360" w:lineRule="auto"/>
        <w:ind w:firstLine="470" w:firstLineChars="195"/>
        <w:rPr>
          <w:rFonts w:hint="eastAsia" w:ascii="宋体" w:hAnsi="宋体" w:eastAsia="宋体" w:cs="宋体"/>
          <w:b/>
          <w:color w:val="auto"/>
          <w:kern w:val="2"/>
          <w:sz w:val="24"/>
          <w:szCs w:val="24"/>
          <w:highlight w:val="none"/>
        </w:rPr>
      </w:pPr>
    </w:p>
    <w:p w14:paraId="17A5F102">
      <w:pPr>
        <w:spacing w:line="360" w:lineRule="auto"/>
        <w:ind w:firstLine="470" w:firstLineChars="195"/>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三、供应商服务要求</w:t>
      </w:r>
    </w:p>
    <w:p w14:paraId="6C79CC68">
      <w:pPr>
        <w:spacing w:line="360" w:lineRule="auto"/>
        <w:ind w:firstLine="468" w:firstLineChars="195"/>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供应商应具有丰富的预算绩效管理服务或政府债券申报等咨询服务经验，经营场所稳定。</w:t>
      </w:r>
    </w:p>
    <w:p w14:paraId="2E6D88B9">
      <w:pPr>
        <w:spacing w:line="360" w:lineRule="auto"/>
        <w:ind w:firstLine="470" w:firstLineChars="195"/>
        <w:rPr>
          <w:rFonts w:hint="default" w:ascii="宋体" w:hAnsi="宋体" w:eastAsia="宋体" w:cs="宋体"/>
          <w:color w:val="auto"/>
          <w:kern w:val="2"/>
          <w:sz w:val="24"/>
          <w:szCs w:val="24"/>
          <w:highlight w:val="none"/>
          <w:lang w:val="en-US" w:eastAsia="zh-CN"/>
        </w:rPr>
      </w:pPr>
      <w:r>
        <w:rPr>
          <w:rFonts w:ascii="Times New Roman" w:hAnsi="Times New Roman" w:eastAsia="宋体" w:cs="Times New Roman"/>
          <w:b/>
          <w:bCs/>
          <w:color w:val="auto"/>
          <w:kern w:val="0"/>
          <w:sz w:val="24"/>
          <w:szCs w:val="21"/>
          <w:highlight w:val="none"/>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供应商</w:t>
      </w:r>
      <w:r>
        <w:rPr>
          <w:rFonts w:hint="eastAsia" w:ascii="宋体" w:hAnsi="宋体" w:eastAsia="宋体" w:cs="宋体"/>
          <w:b/>
          <w:bCs/>
          <w:color w:val="auto"/>
          <w:kern w:val="2"/>
          <w:sz w:val="24"/>
          <w:szCs w:val="24"/>
          <w:highlight w:val="none"/>
          <w:lang w:val="en-US" w:eastAsia="zh-CN"/>
        </w:rPr>
        <w:t>及拟委派项目负责人近三年具有类似项目经验，并提供相关项目合同证明</w:t>
      </w:r>
      <w:r>
        <w:rPr>
          <w:rFonts w:hint="eastAsia" w:ascii="宋体" w:hAnsi="宋体" w:eastAsia="宋体" w:cs="宋体"/>
          <w:b/>
          <w:bCs/>
          <w:color w:val="auto"/>
          <w:kern w:val="2"/>
          <w:sz w:val="24"/>
          <w:szCs w:val="24"/>
          <w:highlight w:val="none"/>
        </w:rPr>
        <w:t>。</w:t>
      </w:r>
    </w:p>
    <w:p w14:paraId="3EE58322">
      <w:pPr>
        <w:overflowPunct w:val="0"/>
        <w:spacing w:line="360" w:lineRule="auto"/>
        <w:ind w:firstLine="482"/>
        <w:rPr>
          <w:rFonts w:ascii="Times New Roman" w:hAnsi="Times New Roman" w:eastAsia="宋体" w:cs="Times New Roman"/>
          <w:b/>
          <w:bCs/>
          <w:color w:val="auto"/>
          <w:kern w:val="0"/>
          <w:sz w:val="24"/>
          <w:szCs w:val="21"/>
          <w:highlight w:val="none"/>
        </w:rPr>
      </w:pPr>
      <w:r>
        <w:rPr>
          <w:rFonts w:ascii="Times New Roman" w:hAnsi="Times New Roman" w:eastAsia="宋体" w:cs="Times New Roman"/>
          <w:b/>
          <w:bCs/>
          <w:color w:val="auto"/>
          <w:kern w:val="0"/>
          <w:sz w:val="24"/>
          <w:szCs w:val="21"/>
          <w:highlight w:val="none"/>
        </w:rPr>
        <w:t>★</w:t>
      </w:r>
      <w:r>
        <w:rPr>
          <w:rFonts w:hint="eastAsia" w:ascii="宋体" w:hAnsi="宋体" w:eastAsia="宋体" w:cs="宋体"/>
          <w:color w:val="auto"/>
          <w:kern w:val="2"/>
          <w:sz w:val="24"/>
          <w:szCs w:val="24"/>
          <w:highlight w:val="none"/>
          <w:lang w:val="en-US" w:eastAsia="zh-CN"/>
        </w:rPr>
        <w:t>3</w:t>
      </w:r>
      <w:r>
        <w:rPr>
          <w:rFonts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rPr>
        <w:t>咨询服务质量要求</w:t>
      </w:r>
      <w:r>
        <w:rPr>
          <w:rFonts w:ascii="Times New Roman" w:hAnsi="Times New Roman" w:eastAsia="宋体" w:cs="Times New Roman"/>
          <w:b/>
          <w:bCs/>
          <w:color w:val="auto"/>
          <w:kern w:val="0"/>
          <w:sz w:val="24"/>
          <w:szCs w:val="21"/>
          <w:highlight w:val="none"/>
        </w:rPr>
        <w:t>。</w:t>
      </w:r>
    </w:p>
    <w:p w14:paraId="7B99DA73">
      <w:pPr>
        <w:overflowPunct w:val="0"/>
        <w:spacing w:line="360" w:lineRule="auto"/>
        <w:ind w:firstLine="482" w:firstLineChars="200"/>
        <w:rPr>
          <w:rFonts w:ascii="Times New Roman" w:hAnsi="Times New Roman" w:eastAsia="宋体" w:cs="Times New Roman"/>
          <w:b/>
          <w:bCs/>
          <w:color w:val="auto"/>
          <w:kern w:val="0"/>
          <w:sz w:val="24"/>
          <w:szCs w:val="21"/>
          <w:highlight w:val="none"/>
        </w:rPr>
      </w:pPr>
      <w:r>
        <w:rPr>
          <w:rFonts w:hint="eastAsia" w:ascii="Times New Roman" w:hAnsi="Times New Roman" w:eastAsia="宋体" w:cs="Times New Roman"/>
          <w:b/>
          <w:bCs/>
          <w:color w:val="auto"/>
          <w:kern w:val="0"/>
          <w:sz w:val="24"/>
          <w:szCs w:val="21"/>
          <w:highlight w:val="none"/>
        </w:rPr>
        <w:t>（1）入围供应商</w:t>
      </w:r>
      <w:r>
        <w:rPr>
          <w:rFonts w:ascii="Times New Roman" w:hAnsi="Times New Roman" w:eastAsia="宋体" w:cs="Times New Roman"/>
          <w:b/>
          <w:bCs/>
          <w:color w:val="auto"/>
          <w:kern w:val="0"/>
          <w:sz w:val="24"/>
          <w:szCs w:val="21"/>
          <w:highlight w:val="none"/>
        </w:rPr>
        <w:t>应保持高度的工作独立性，确保咨询</w:t>
      </w:r>
      <w:r>
        <w:rPr>
          <w:rFonts w:hint="eastAsia" w:ascii="Times New Roman" w:hAnsi="Times New Roman" w:eastAsia="宋体" w:cs="Times New Roman"/>
          <w:b/>
          <w:bCs/>
          <w:color w:val="auto"/>
          <w:kern w:val="0"/>
          <w:sz w:val="24"/>
          <w:szCs w:val="21"/>
          <w:highlight w:val="none"/>
        </w:rPr>
        <w:t>服务</w:t>
      </w:r>
      <w:r>
        <w:rPr>
          <w:rFonts w:ascii="Times New Roman" w:hAnsi="Times New Roman" w:eastAsia="宋体" w:cs="Times New Roman"/>
          <w:b/>
          <w:bCs/>
          <w:color w:val="auto"/>
          <w:kern w:val="0"/>
          <w:sz w:val="24"/>
          <w:szCs w:val="21"/>
          <w:highlight w:val="none"/>
        </w:rPr>
        <w:t>各工作环节做到合法、合规、公正、专业，不受外界的任何干扰与干预</w:t>
      </w:r>
      <w:r>
        <w:rPr>
          <w:rFonts w:hint="eastAsia" w:ascii="Times New Roman" w:hAnsi="Times New Roman" w:eastAsia="宋体" w:cs="Times New Roman"/>
          <w:b/>
          <w:bCs/>
          <w:color w:val="auto"/>
          <w:kern w:val="0"/>
          <w:sz w:val="24"/>
          <w:szCs w:val="21"/>
          <w:highlight w:val="none"/>
        </w:rPr>
        <w:t>。</w:t>
      </w:r>
    </w:p>
    <w:p w14:paraId="3BC01711">
      <w:pPr>
        <w:overflowPunct w:val="0"/>
        <w:spacing w:line="360" w:lineRule="auto"/>
        <w:ind w:firstLine="482" w:firstLineChars="200"/>
        <w:rPr>
          <w:rFonts w:hint="eastAsia" w:ascii="Times New Roman" w:hAnsi="Times New Roman" w:eastAsia="宋体" w:cs="Times New Roman"/>
          <w:b/>
          <w:bCs/>
          <w:color w:val="auto"/>
          <w:kern w:val="0"/>
          <w:sz w:val="24"/>
          <w:szCs w:val="21"/>
          <w:highlight w:val="none"/>
        </w:rPr>
      </w:pPr>
      <w:r>
        <w:rPr>
          <w:rFonts w:hint="eastAsia" w:ascii="Times New Roman" w:hAnsi="Times New Roman" w:eastAsia="宋体" w:cs="Times New Roman"/>
          <w:b/>
          <w:bCs/>
          <w:color w:val="auto"/>
          <w:kern w:val="0"/>
          <w:sz w:val="24"/>
          <w:szCs w:val="21"/>
          <w:highlight w:val="none"/>
        </w:rPr>
        <w:t>（2）入围供应商应熟悉国家、省、市有关部门法律、法规及相关政策，并有丰富的项目经验；入围供应商出具的相关成果须达到采购要求及相关法律法规标准。</w:t>
      </w:r>
    </w:p>
    <w:p w14:paraId="2C4D80E7">
      <w:pPr>
        <w:overflowPunct w:val="0"/>
        <w:spacing w:line="360" w:lineRule="auto"/>
        <w:ind w:firstLine="482" w:firstLineChars="200"/>
        <w:rPr>
          <w:rFonts w:hint="eastAsia" w:ascii="Times New Roman" w:hAnsi="Times New Roman" w:eastAsia="宋体" w:cs="Times New Roman"/>
          <w:b/>
          <w:bCs/>
          <w:color w:val="auto"/>
          <w:kern w:val="0"/>
          <w:sz w:val="24"/>
          <w:szCs w:val="21"/>
          <w:highlight w:val="none"/>
          <w:lang w:val="en-US" w:eastAsia="zh-CN"/>
        </w:rPr>
      </w:pPr>
      <w:r>
        <w:rPr>
          <w:rFonts w:hint="eastAsia" w:ascii="Times New Roman" w:hAnsi="Times New Roman" w:eastAsia="宋体" w:cs="Times New Roman"/>
          <w:b/>
          <w:bCs/>
          <w:color w:val="auto"/>
          <w:kern w:val="0"/>
          <w:sz w:val="24"/>
          <w:szCs w:val="21"/>
          <w:highlight w:val="none"/>
          <w:lang w:val="en-US" w:eastAsia="zh-CN"/>
        </w:rPr>
        <w:t>（3）入围供应商应按照相关法律法规及业务要求，客观公正、规范有序地参与和开展受托的工作，接受财政部门和委托方的指导和监督。</w:t>
      </w:r>
    </w:p>
    <w:p w14:paraId="5C3D8A3D">
      <w:pPr>
        <w:overflowPunct w:val="0"/>
        <w:spacing w:line="360" w:lineRule="auto"/>
        <w:ind w:firstLine="482"/>
        <w:outlineLvl w:val="9"/>
        <w:rPr>
          <w:rFonts w:hint="default" w:ascii="Times New Roman" w:hAnsi="Times New Roman" w:eastAsia="宋体" w:cs="Times New Roman"/>
          <w:color w:val="auto"/>
          <w:kern w:val="0"/>
          <w:sz w:val="20"/>
          <w:szCs w:val="20"/>
          <w:highlight w:val="none"/>
          <w:lang w:val="en-US" w:eastAsia="zh-CN"/>
        </w:rPr>
      </w:pPr>
      <w:r>
        <w:rPr>
          <w:rFonts w:ascii="Segoe UI Symbol" w:hAnsi="Segoe UI Symbol" w:eastAsia="宋体" w:cs="Segoe UI Symbol"/>
          <w:b/>
          <w:bCs/>
          <w:color w:val="auto"/>
          <w:kern w:val="0"/>
          <w:sz w:val="24"/>
          <w:szCs w:val="21"/>
          <w:highlight w:val="none"/>
        </w:rPr>
        <w:t>★</w:t>
      </w:r>
      <w:r>
        <w:rPr>
          <w:rFonts w:hint="eastAsia" w:ascii="Times New Roman" w:hAnsi="Times New Roman" w:eastAsia="宋体" w:cs="Times New Roman"/>
          <w:b/>
          <w:bCs/>
          <w:color w:val="auto"/>
          <w:kern w:val="0"/>
          <w:sz w:val="24"/>
          <w:szCs w:val="21"/>
          <w:highlight w:val="none"/>
          <w:lang w:val="en-US" w:eastAsia="zh-CN"/>
        </w:rPr>
        <w:t>4</w:t>
      </w:r>
      <w:r>
        <w:rPr>
          <w:rFonts w:ascii="Times New Roman" w:hAnsi="Times New Roman" w:eastAsia="宋体" w:cs="Times New Roman"/>
          <w:b/>
          <w:bCs/>
          <w:color w:val="auto"/>
          <w:kern w:val="0"/>
          <w:sz w:val="24"/>
          <w:szCs w:val="21"/>
          <w:highlight w:val="none"/>
        </w:rPr>
        <w:t>. 质量控制水平要求</w:t>
      </w:r>
    </w:p>
    <w:p w14:paraId="7099177B">
      <w:pPr>
        <w:numPr>
          <w:ilvl w:val="0"/>
          <w:numId w:val="1"/>
        </w:numPr>
        <w:spacing w:line="360" w:lineRule="auto"/>
        <w:ind w:firstLine="470" w:firstLineChars="195"/>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专业性：按照协议(合同)约定完成相关工作，提交事前绩效评估、绩效评价</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债券发行“一案两书”</w:t>
      </w:r>
      <w:r>
        <w:rPr>
          <w:rFonts w:hint="eastAsia" w:ascii="宋体" w:hAnsi="宋体" w:eastAsia="宋体" w:cs="宋体"/>
          <w:b/>
          <w:bCs/>
          <w:color w:val="auto"/>
          <w:kern w:val="2"/>
          <w:sz w:val="24"/>
          <w:szCs w:val="24"/>
          <w:highlight w:val="none"/>
        </w:rPr>
        <w:t>等工作成果，并对其公正性、完整性、客观性负责</w:t>
      </w:r>
      <w:r>
        <w:rPr>
          <w:rFonts w:hint="eastAsia" w:ascii="宋体" w:hAnsi="宋体" w:eastAsia="宋体" w:cs="宋体"/>
          <w:b/>
          <w:bCs/>
          <w:color w:val="auto"/>
          <w:kern w:val="2"/>
          <w:sz w:val="24"/>
          <w:szCs w:val="24"/>
          <w:highlight w:val="none"/>
          <w:lang w:eastAsia="zh-CN"/>
        </w:rPr>
        <w:t>。</w:t>
      </w:r>
    </w:p>
    <w:p w14:paraId="6409EE23">
      <w:pPr>
        <w:numPr>
          <w:ilvl w:val="0"/>
          <w:numId w:val="0"/>
        </w:numPr>
        <w:spacing w:line="360" w:lineRule="auto"/>
        <w:ind w:firstLine="482" w:firstLineChars="200"/>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）保密性：签订保密协议，妥善保管</w:t>
      </w:r>
      <w:r>
        <w:rPr>
          <w:rFonts w:hint="eastAsia" w:ascii="宋体" w:hAnsi="宋体" w:eastAsia="宋体" w:cs="宋体"/>
          <w:b/>
          <w:bCs/>
          <w:color w:val="auto"/>
          <w:kern w:val="2"/>
          <w:sz w:val="24"/>
          <w:szCs w:val="24"/>
          <w:highlight w:val="none"/>
          <w:lang w:val="en-US" w:eastAsia="zh-CN"/>
        </w:rPr>
        <w:t>服务</w:t>
      </w:r>
      <w:r>
        <w:rPr>
          <w:rFonts w:hint="eastAsia" w:ascii="宋体" w:hAnsi="宋体" w:eastAsia="宋体" w:cs="宋体"/>
          <w:b/>
          <w:bCs/>
          <w:color w:val="auto"/>
          <w:kern w:val="2"/>
          <w:sz w:val="24"/>
          <w:szCs w:val="24"/>
          <w:highlight w:val="none"/>
        </w:rPr>
        <w:t>工作成果和相关资料，确保有人负责，有源可溯，严格遵守国家保密规定，做好档案管理工作</w:t>
      </w:r>
      <w:r>
        <w:rPr>
          <w:rFonts w:hint="eastAsia" w:ascii="宋体" w:hAnsi="宋体" w:eastAsia="宋体" w:cs="宋体"/>
          <w:b/>
          <w:bCs/>
          <w:color w:val="auto"/>
          <w:kern w:val="2"/>
          <w:sz w:val="24"/>
          <w:szCs w:val="24"/>
          <w:highlight w:val="none"/>
          <w:lang w:eastAsia="zh-CN"/>
        </w:rPr>
        <w:t>。</w:t>
      </w:r>
    </w:p>
    <w:p w14:paraId="3608CEED">
      <w:pPr>
        <w:spacing w:line="360" w:lineRule="auto"/>
        <w:ind w:firstLine="470" w:firstLineChars="195"/>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rPr>
        <w:t>3</w:t>
      </w:r>
      <w:r>
        <w:rPr>
          <w:rFonts w:hint="eastAsia" w:ascii="宋体" w:hAnsi="宋体" w:eastAsia="宋体" w:cs="宋体"/>
          <w:b/>
          <w:bCs/>
          <w:color w:val="auto"/>
          <w:kern w:val="2"/>
          <w:sz w:val="24"/>
          <w:szCs w:val="24"/>
          <w:highlight w:val="none"/>
        </w:rPr>
        <w:t>）主动性：</w:t>
      </w:r>
      <w:r>
        <w:rPr>
          <w:rFonts w:hint="eastAsia" w:ascii="宋体" w:hAnsi="宋体" w:eastAsia="宋体" w:cs="宋体"/>
          <w:b/>
          <w:bCs/>
          <w:color w:val="auto"/>
          <w:kern w:val="2"/>
          <w:sz w:val="24"/>
          <w:szCs w:val="24"/>
          <w:highlight w:val="none"/>
          <w:lang w:val="en-US" w:eastAsia="zh-CN"/>
        </w:rPr>
        <w:t>在工作过程中主动发现可提升相关业务管理水平关键环节，向委托方提供合理的意见建议。</w:t>
      </w:r>
    </w:p>
    <w:p w14:paraId="140EF0CE">
      <w:pPr>
        <w:spacing w:line="360" w:lineRule="auto"/>
        <w:ind w:firstLine="470" w:firstLineChars="195"/>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4</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高配合度</w:t>
      </w:r>
      <w:r>
        <w:rPr>
          <w:rFonts w:hint="eastAsia" w:ascii="宋体" w:hAnsi="宋体" w:eastAsia="宋体" w:cs="宋体"/>
          <w:b/>
          <w:color w:val="auto"/>
          <w:kern w:val="2"/>
          <w:sz w:val="24"/>
          <w:szCs w:val="24"/>
          <w:highlight w:val="none"/>
        </w:rPr>
        <w:t>：供应商无条件、任意期限接受江汉大学上级主管部门对其在本项目服务有效期内</w:t>
      </w:r>
      <w:r>
        <w:rPr>
          <w:rFonts w:hint="eastAsia" w:ascii="宋体" w:hAnsi="宋体" w:eastAsia="宋体" w:cs="宋体"/>
          <w:b/>
          <w:color w:val="auto"/>
          <w:kern w:val="2"/>
          <w:sz w:val="24"/>
          <w:szCs w:val="24"/>
          <w:highlight w:val="none"/>
          <w:lang w:val="en-US" w:eastAsia="zh-CN"/>
        </w:rPr>
        <w:t>所服务项目</w:t>
      </w:r>
      <w:r>
        <w:rPr>
          <w:rFonts w:hint="eastAsia" w:ascii="宋体" w:hAnsi="宋体" w:eastAsia="宋体" w:cs="宋体"/>
          <w:b/>
          <w:color w:val="auto"/>
          <w:kern w:val="2"/>
          <w:sz w:val="24"/>
          <w:szCs w:val="24"/>
          <w:highlight w:val="none"/>
        </w:rPr>
        <w:t>出具的</w:t>
      </w:r>
      <w:r>
        <w:rPr>
          <w:rFonts w:hint="eastAsia" w:ascii="宋体" w:hAnsi="宋体" w:eastAsia="宋体" w:cs="宋体"/>
          <w:b/>
          <w:color w:val="auto"/>
          <w:kern w:val="2"/>
          <w:sz w:val="24"/>
          <w:szCs w:val="24"/>
          <w:highlight w:val="none"/>
          <w:lang w:val="en-US" w:eastAsia="zh-CN"/>
        </w:rPr>
        <w:t>服务</w:t>
      </w:r>
      <w:r>
        <w:rPr>
          <w:rFonts w:hint="eastAsia" w:ascii="宋体" w:hAnsi="宋体" w:eastAsia="宋体" w:cs="宋体"/>
          <w:b/>
          <w:color w:val="auto"/>
          <w:kern w:val="2"/>
          <w:sz w:val="24"/>
          <w:szCs w:val="24"/>
          <w:highlight w:val="none"/>
        </w:rPr>
        <w:t>成果进行复审，且必须配合采购人完成上级主管部门对该项目</w:t>
      </w:r>
      <w:r>
        <w:rPr>
          <w:rFonts w:hint="eastAsia" w:ascii="宋体" w:hAnsi="宋体" w:eastAsia="宋体" w:cs="宋体"/>
          <w:b/>
          <w:color w:val="auto"/>
          <w:kern w:val="2"/>
          <w:sz w:val="24"/>
          <w:szCs w:val="24"/>
          <w:highlight w:val="none"/>
          <w:lang w:val="en-US" w:eastAsia="zh-CN"/>
        </w:rPr>
        <w:t>绩效管理情况</w:t>
      </w:r>
      <w:r>
        <w:rPr>
          <w:rFonts w:hint="eastAsia" w:ascii="宋体" w:hAnsi="宋体" w:eastAsia="宋体" w:cs="宋体"/>
          <w:b/>
          <w:color w:val="auto"/>
          <w:kern w:val="2"/>
          <w:sz w:val="24"/>
          <w:szCs w:val="24"/>
          <w:highlight w:val="none"/>
        </w:rPr>
        <w:t>进行的</w:t>
      </w:r>
      <w:r>
        <w:rPr>
          <w:rFonts w:hint="eastAsia" w:ascii="宋体" w:hAnsi="宋体" w:eastAsia="宋体" w:cs="宋体"/>
          <w:b/>
          <w:color w:val="auto"/>
          <w:kern w:val="2"/>
          <w:sz w:val="24"/>
          <w:szCs w:val="24"/>
          <w:highlight w:val="none"/>
          <w:lang w:val="en-US" w:eastAsia="zh-CN"/>
        </w:rPr>
        <w:t>复核、评价</w:t>
      </w:r>
      <w:r>
        <w:rPr>
          <w:rFonts w:hint="eastAsia" w:ascii="宋体" w:hAnsi="宋体" w:eastAsia="宋体" w:cs="宋体"/>
          <w:b/>
          <w:color w:val="auto"/>
          <w:kern w:val="2"/>
          <w:sz w:val="24"/>
          <w:szCs w:val="24"/>
          <w:highlight w:val="none"/>
        </w:rPr>
        <w:t>工作，并提供和编制上级主管部门所需资料和技术文件。</w:t>
      </w:r>
    </w:p>
    <w:p w14:paraId="68503BF9">
      <w:pPr>
        <w:spacing w:line="360" w:lineRule="auto"/>
        <w:ind w:firstLine="470" w:firstLineChars="195"/>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rPr>
        <w:t>.人员配备要求</w:t>
      </w:r>
    </w:p>
    <w:p w14:paraId="66104389">
      <w:pPr>
        <w:numPr>
          <w:ilvl w:val="0"/>
          <w:numId w:val="0"/>
        </w:numPr>
        <w:overflowPunct w:val="0"/>
        <w:spacing w:line="360" w:lineRule="auto"/>
        <w:ind w:firstLine="480" w:firstLineChars="0"/>
        <w:rPr>
          <w:rFonts w:ascii="Times New Roman" w:hAnsi="Times New Roman" w:eastAsia="宋体" w:cs="Times New Roman"/>
          <w:color w:val="auto"/>
          <w:kern w:val="0"/>
          <w:sz w:val="24"/>
          <w:szCs w:val="21"/>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rPr>
        <w:t>入围供应商须具有履行合同所必需的专业技术能力。入围供应商拟投入本项目的</w:t>
      </w:r>
      <w:r>
        <w:rPr>
          <w:rFonts w:hint="eastAsia" w:ascii="宋体" w:hAnsi="宋体" w:eastAsia="宋体" w:cs="宋体"/>
          <w:color w:val="auto"/>
          <w:kern w:val="2"/>
          <w:sz w:val="24"/>
          <w:szCs w:val="24"/>
          <w:highlight w:val="none"/>
          <w:lang w:eastAsia="zh-CN"/>
        </w:rPr>
        <w:t>项目负责人</w:t>
      </w:r>
      <w:r>
        <w:rPr>
          <w:rFonts w:hint="eastAsia" w:ascii="宋体" w:hAnsi="宋体" w:eastAsia="宋体" w:cs="宋体"/>
          <w:color w:val="auto"/>
          <w:kern w:val="2"/>
          <w:sz w:val="24"/>
          <w:szCs w:val="24"/>
          <w:highlight w:val="none"/>
        </w:rPr>
        <w:t>须</w:t>
      </w:r>
      <w:r>
        <w:rPr>
          <w:rFonts w:ascii="宋体" w:hAnsi="宋体" w:eastAsia="宋体" w:cs="宋体"/>
          <w:color w:val="auto"/>
          <w:kern w:val="0"/>
          <w:sz w:val="24"/>
          <w:szCs w:val="24"/>
          <w:highlight w:val="none"/>
        </w:rPr>
        <w:t>具备注册会计师、评估师和同等专业职业资格，或会计、审计等高级职称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2"/>
          <w:sz w:val="24"/>
          <w:szCs w:val="24"/>
          <w:highlight w:val="none"/>
        </w:rPr>
        <w:t>具有5年以上</w:t>
      </w:r>
      <w:r>
        <w:rPr>
          <w:rFonts w:hint="eastAsia" w:ascii="宋体" w:hAnsi="宋体" w:eastAsia="宋体" w:cs="宋体"/>
          <w:color w:val="auto"/>
          <w:kern w:val="2"/>
          <w:sz w:val="24"/>
          <w:szCs w:val="24"/>
          <w:highlight w:val="none"/>
          <w:lang w:val="en-US" w:eastAsia="zh-CN"/>
        </w:rPr>
        <w:t>相关</w:t>
      </w:r>
      <w:r>
        <w:rPr>
          <w:rFonts w:hint="eastAsia" w:ascii="宋体" w:hAnsi="宋体" w:eastAsia="宋体" w:cs="宋体"/>
          <w:color w:val="auto"/>
          <w:kern w:val="2"/>
          <w:sz w:val="24"/>
          <w:szCs w:val="24"/>
          <w:highlight w:val="none"/>
        </w:rPr>
        <w:t>项目负责人经验，202</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年1月1日起</w:t>
      </w:r>
      <w:r>
        <w:rPr>
          <w:rFonts w:hint="eastAsia" w:ascii="宋体" w:hAnsi="宋体" w:eastAsia="宋体" w:cs="宋体"/>
          <w:color w:val="auto"/>
          <w:kern w:val="2"/>
          <w:sz w:val="24"/>
          <w:szCs w:val="24"/>
          <w:highlight w:val="none"/>
          <w:lang w:val="en-US" w:eastAsia="zh-CN"/>
        </w:rPr>
        <w:t>承担</w:t>
      </w:r>
      <w:r>
        <w:rPr>
          <w:rFonts w:hint="eastAsia" w:ascii="宋体" w:hAnsi="宋体" w:eastAsia="宋体" w:cs="宋体"/>
          <w:color w:val="auto"/>
          <w:kern w:val="2"/>
          <w:sz w:val="24"/>
          <w:szCs w:val="24"/>
          <w:highlight w:val="none"/>
        </w:rPr>
        <w:t>过</w:t>
      </w:r>
      <w:r>
        <w:rPr>
          <w:rFonts w:hint="eastAsia" w:ascii="宋体" w:hAnsi="宋体" w:eastAsia="宋体" w:cs="宋体"/>
          <w:color w:val="auto"/>
          <w:kern w:val="2"/>
          <w:sz w:val="24"/>
          <w:szCs w:val="24"/>
          <w:highlight w:val="none"/>
          <w:lang w:val="en-US" w:eastAsia="zh-CN"/>
        </w:rPr>
        <w:t>类似业绩3次以上</w:t>
      </w:r>
      <w:r>
        <w:rPr>
          <w:rFonts w:hint="eastAsia" w:ascii="宋体" w:hAnsi="宋体" w:eastAsia="宋体" w:cs="宋体"/>
          <w:color w:val="auto"/>
          <w:kern w:val="2"/>
          <w:sz w:val="24"/>
          <w:szCs w:val="24"/>
          <w:highlight w:val="none"/>
        </w:rPr>
        <w:t>。</w:t>
      </w:r>
      <w:r>
        <w:rPr>
          <w:rFonts w:ascii="Times New Roman" w:hAnsi="Times New Roman" w:eastAsia="宋体" w:cs="Times New Roman"/>
          <w:b/>
          <w:bCs/>
          <w:color w:val="auto"/>
          <w:kern w:val="0"/>
          <w:sz w:val="24"/>
          <w:szCs w:val="21"/>
          <w:highlight w:val="none"/>
        </w:rPr>
        <w:t>（应提供</w:t>
      </w:r>
      <w:r>
        <w:rPr>
          <w:rFonts w:hint="eastAsia" w:ascii="Times New Roman" w:hAnsi="Times New Roman" w:eastAsia="宋体" w:cs="Times New Roman"/>
          <w:b/>
          <w:bCs/>
          <w:color w:val="auto"/>
          <w:kern w:val="0"/>
          <w:sz w:val="24"/>
          <w:szCs w:val="21"/>
          <w:highlight w:val="none"/>
          <w:lang w:val="en-US" w:eastAsia="zh-CN"/>
        </w:rPr>
        <w:t>满足上述要求的相关证明材料</w:t>
      </w:r>
      <w:r>
        <w:rPr>
          <w:rFonts w:ascii="Times New Roman" w:hAnsi="Times New Roman" w:eastAsia="宋体" w:cs="Times New Roman"/>
          <w:b/>
          <w:bCs/>
          <w:color w:val="auto"/>
          <w:kern w:val="0"/>
          <w:sz w:val="24"/>
          <w:szCs w:val="21"/>
          <w:highlight w:val="none"/>
        </w:rPr>
        <w:t>，否则视为未实质响应</w:t>
      </w:r>
      <w:r>
        <w:rPr>
          <w:rFonts w:hint="eastAsia" w:ascii="Times New Roman" w:hAnsi="Times New Roman" w:eastAsia="宋体" w:cs="Times New Roman"/>
          <w:b/>
          <w:bCs/>
          <w:color w:val="auto"/>
          <w:kern w:val="0"/>
          <w:sz w:val="24"/>
          <w:szCs w:val="21"/>
          <w:highlight w:val="none"/>
          <w:lang w:eastAsia="zh-CN"/>
        </w:rPr>
        <w:t>征集文件</w:t>
      </w:r>
      <w:r>
        <w:rPr>
          <w:rFonts w:ascii="Times New Roman" w:hAnsi="Times New Roman" w:eastAsia="宋体" w:cs="Times New Roman"/>
          <w:b/>
          <w:bCs/>
          <w:color w:val="auto"/>
          <w:kern w:val="0"/>
          <w:sz w:val="24"/>
          <w:szCs w:val="21"/>
          <w:highlight w:val="none"/>
        </w:rPr>
        <w:t>）</w:t>
      </w:r>
    </w:p>
    <w:p w14:paraId="5D6434FE">
      <w:pPr>
        <w:numPr>
          <w:ilvl w:val="0"/>
          <w:numId w:val="0"/>
        </w:numPr>
        <w:overflowPunct w:val="0"/>
        <w:spacing w:line="360" w:lineRule="auto"/>
        <w:ind w:firstLine="480" w:firstLineChars="0"/>
        <w:rPr>
          <w:rFonts w:ascii="Times New Roman" w:hAnsi="Times New Roman" w:eastAsia="宋体" w:cs="Times New Roman"/>
          <w:color w:val="auto"/>
          <w:kern w:val="0"/>
          <w:sz w:val="24"/>
          <w:szCs w:val="21"/>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供应商需承诺服务</w:t>
      </w:r>
      <w:r>
        <w:rPr>
          <w:rFonts w:hint="eastAsia" w:ascii="宋体" w:hAnsi="宋体" w:eastAsia="宋体" w:cs="宋体"/>
          <w:color w:val="auto"/>
          <w:kern w:val="2"/>
          <w:sz w:val="24"/>
          <w:szCs w:val="24"/>
          <w:highlight w:val="none"/>
          <w:lang w:val="en-US" w:eastAsia="zh-CN"/>
        </w:rPr>
        <w:t>业务</w:t>
      </w:r>
      <w:r>
        <w:rPr>
          <w:rFonts w:hint="eastAsia" w:ascii="宋体" w:hAnsi="宋体" w:eastAsia="宋体" w:cs="宋体"/>
          <w:color w:val="auto"/>
          <w:kern w:val="2"/>
          <w:sz w:val="24"/>
          <w:szCs w:val="24"/>
          <w:highlight w:val="none"/>
        </w:rPr>
        <w:t>完成前，项目负责人不得同时在其他项目中任职。</w:t>
      </w:r>
      <w:r>
        <w:rPr>
          <w:rFonts w:ascii="Times New Roman" w:hAnsi="Times New Roman" w:eastAsia="宋体" w:cs="Times New Roman"/>
          <w:b/>
          <w:bCs/>
          <w:color w:val="auto"/>
          <w:kern w:val="0"/>
          <w:sz w:val="24"/>
          <w:szCs w:val="21"/>
          <w:highlight w:val="none"/>
        </w:rPr>
        <w:t>（应提供承诺书并加盖供应商公章，否则视为未实质响应</w:t>
      </w:r>
      <w:r>
        <w:rPr>
          <w:rFonts w:hint="eastAsia" w:ascii="Times New Roman" w:hAnsi="Times New Roman" w:eastAsia="宋体" w:cs="Times New Roman"/>
          <w:b/>
          <w:bCs/>
          <w:color w:val="auto"/>
          <w:kern w:val="0"/>
          <w:sz w:val="24"/>
          <w:szCs w:val="21"/>
          <w:highlight w:val="none"/>
          <w:lang w:eastAsia="zh-CN"/>
        </w:rPr>
        <w:t>征集文件</w:t>
      </w:r>
      <w:r>
        <w:rPr>
          <w:rFonts w:ascii="Times New Roman" w:hAnsi="Times New Roman" w:eastAsia="宋体" w:cs="Times New Roman"/>
          <w:b/>
          <w:bCs/>
          <w:color w:val="auto"/>
          <w:kern w:val="0"/>
          <w:sz w:val="24"/>
          <w:szCs w:val="21"/>
          <w:highlight w:val="none"/>
        </w:rPr>
        <w:t>）</w:t>
      </w:r>
    </w:p>
    <w:p w14:paraId="01634E84">
      <w:pPr>
        <w:overflowPunct w:val="0"/>
        <w:spacing w:line="360" w:lineRule="auto"/>
        <w:ind w:firstLine="480"/>
        <w:rPr>
          <w:rFonts w:hint="default" w:ascii="Times New Roman" w:hAnsi="Times New Roman" w:eastAsia="宋体" w:cs="Times New Roman"/>
          <w:color w:val="auto"/>
          <w:kern w:val="0"/>
          <w:sz w:val="24"/>
          <w:szCs w:val="21"/>
          <w:highlight w:val="none"/>
        </w:rPr>
      </w:pPr>
      <w:r>
        <w:rPr>
          <w:rFonts w:hint="eastAsia" w:ascii="宋体" w:hAnsi="宋体" w:eastAsia="宋体" w:cs="宋体"/>
          <w:b/>
          <w:bCs/>
          <w:color w:val="auto"/>
          <w:kern w:val="2"/>
          <w:sz w:val="24"/>
          <w:szCs w:val="24"/>
          <w:highlight w:val="none"/>
        </w:rPr>
        <w:t>★</w:t>
      </w:r>
      <w:r>
        <w:rPr>
          <w:rFonts w:hint="default" w:ascii="Times New Roman" w:hAnsi="Times New Roman" w:eastAsia="宋体" w:cs="Times New Roman"/>
          <w:b w:val="0"/>
          <w:bCs w:val="0"/>
          <w:color w:val="auto"/>
          <w:kern w:val="0"/>
          <w:sz w:val="24"/>
          <w:szCs w:val="21"/>
          <w:highlight w:val="none"/>
          <w:lang w:eastAsia="zh-CN"/>
        </w:rPr>
        <w:t>（</w:t>
      </w:r>
      <w:r>
        <w:rPr>
          <w:rFonts w:hint="eastAsia" w:ascii="Times New Roman" w:hAnsi="Times New Roman" w:eastAsia="宋体" w:cs="Times New Roman"/>
          <w:b w:val="0"/>
          <w:bCs w:val="0"/>
          <w:color w:val="auto"/>
          <w:kern w:val="0"/>
          <w:sz w:val="24"/>
          <w:szCs w:val="21"/>
          <w:highlight w:val="none"/>
          <w:lang w:val="en-US" w:eastAsia="zh-CN"/>
        </w:rPr>
        <w:t>3</w:t>
      </w:r>
      <w:r>
        <w:rPr>
          <w:rFonts w:hint="default" w:ascii="Times New Roman" w:hAnsi="Times New Roman" w:eastAsia="宋体" w:cs="Times New Roman"/>
          <w:b w:val="0"/>
          <w:bCs w:val="0"/>
          <w:color w:val="auto"/>
          <w:kern w:val="0"/>
          <w:sz w:val="24"/>
          <w:szCs w:val="21"/>
          <w:highlight w:val="none"/>
          <w:lang w:eastAsia="zh-CN"/>
        </w:rPr>
        <w:t>）服务</w:t>
      </w:r>
      <w:r>
        <w:rPr>
          <w:rFonts w:hint="eastAsia" w:ascii="Times New Roman" w:hAnsi="Times New Roman" w:eastAsia="宋体" w:cs="Times New Roman"/>
          <w:b w:val="0"/>
          <w:bCs w:val="0"/>
          <w:color w:val="auto"/>
          <w:kern w:val="0"/>
          <w:sz w:val="24"/>
          <w:szCs w:val="21"/>
          <w:highlight w:val="none"/>
          <w:lang w:val="en-US" w:eastAsia="zh-CN"/>
        </w:rPr>
        <w:t>业务</w:t>
      </w:r>
      <w:r>
        <w:rPr>
          <w:rFonts w:hint="default" w:ascii="Times New Roman" w:hAnsi="Times New Roman" w:eastAsia="宋体" w:cs="Times New Roman"/>
          <w:b w:val="0"/>
          <w:bCs w:val="0"/>
          <w:color w:val="auto"/>
          <w:kern w:val="0"/>
          <w:sz w:val="24"/>
          <w:szCs w:val="21"/>
          <w:highlight w:val="none"/>
          <w:lang w:eastAsia="zh-CN"/>
        </w:rPr>
        <w:t>开展前，入围供应商应成立项目组。项目组应按照</w:t>
      </w:r>
      <w:r>
        <w:rPr>
          <w:rFonts w:hint="eastAsia" w:ascii="Times New Roman" w:hAnsi="Times New Roman" w:eastAsia="宋体" w:cs="Times New Roman"/>
          <w:b w:val="0"/>
          <w:bCs w:val="0"/>
          <w:color w:val="auto"/>
          <w:kern w:val="0"/>
          <w:sz w:val="24"/>
          <w:szCs w:val="21"/>
          <w:highlight w:val="none"/>
          <w:lang w:val="en-US" w:eastAsia="zh-CN"/>
        </w:rPr>
        <w:t>服务</w:t>
      </w:r>
      <w:r>
        <w:rPr>
          <w:rFonts w:hint="default" w:ascii="Times New Roman" w:hAnsi="Times New Roman" w:eastAsia="宋体" w:cs="Times New Roman"/>
          <w:b w:val="0"/>
          <w:bCs w:val="0"/>
          <w:color w:val="auto"/>
          <w:kern w:val="0"/>
          <w:sz w:val="24"/>
          <w:szCs w:val="21"/>
          <w:highlight w:val="none"/>
          <w:lang w:eastAsia="zh-CN"/>
        </w:rPr>
        <w:t>类别安排人员，并根据工作进度需要及时增派能够胜任此类</w:t>
      </w:r>
      <w:r>
        <w:rPr>
          <w:rFonts w:hint="eastAsia" w:ascii="Times New Roman" w:hAnsi="Times New Roman" w:eastAsia="宋体" w:cs="Times New Roman"/>
          <w:b w:val="0"/>
          <w:bCs w:val="0"/>
          <w:color w:val="auto"/>
          <w:kern w:val="0"/>
          <w:sz w:val="24"/>
          <w:szCs w:val="21"/>
          <w:highlight w:val="none"/>
          <w:lang w:val="en-US" w:eastAsia="zh-CN"/>
        </w:rPr>
        <w:t>服务</w:t>
      </w:r>
      <w:r>
        <w:rPr>
          <w:rFonts w:hint="default" w:ascii="Times New Roman" w:hAnsi="Times New Roman" w:eastAsia="宋体" w:cs="Times New Roman"/>
          <w:b w:val="0"/>
          <w:bCs w:val="0"/>
          <w:color w:val="auto"/>
          <w:kern w:val="0"/>
          <w:sz w:val="24"/>
          <w:szCs w:val="21"/>
          <w:highlight w:val="none"/>
          <w:lang w:eastAsia="zh-CN"/>
        </w:rPr>
        <w:t>项目的相关人员，项目组成员不得少于3人。项目组其他成员（即除</w:t>
      </w:r>
      <w:r>
        <w:rPr>
          <w:rFonts w:hint="eastAsia" w:ascii="Times New Roman" w:hAnsi="Times New Roman" w:eastAsia="宋体" w:cs="Times New Roman"/>
          <w:b w:val="0"/>
          <w:bCs w:val="0"/>
          <w:color w:val="auto"/>
          <w:kern w:val="0"/>
          <w:sz w:val="24"/>
          <w:szCs w:val="21"/>
          <w:highlight w:val="none"/>
          <w:lang w:eastAsia="zh-CN"/>
        </w:rPr>
        <w:t>项目负责人</w:t>
      </w:r>
      <w:r>
        <w:rPr>
          <w:rFonts w:hint="default" w:ascii="Times New Roman" w:hAnsi="Times New Roman" w:eastAsia="宋体" w:cs="Times New Roman"/>
          <w:b w:val="0"/>
          <w:bCs w:val="0"/>
          <w:color w:val="auto"/>
          <w:kern w:val="0"/>
          <w:sz w:val="24"/>
          <w:szCs w:val="21"/>
          <w:highlight w:val="none"/>
          <w:lang w:eastAsia="zh-CN"/>
        </w:rPr>
        <w:t>以外的项目组成员）须具有相关专业中级及以上职称</w:t>
      </w:r>
      <w:r>
        <w:rPr>
          <w:rFonts w:hint="eastAsia" w:ascii="Times New Roman" w:hAnsi="Times New Roman" w:eastAsia="宋体" w:cs="Times New Roman"/>
          <w:b w:val="0"/>
          <w:bCs w:val="0"/>
          <w:color w:val="auto"/>
          <w:kern w:val="0"/>
          <w:sz w:val="24"/>
          <w:szCs w:val="21"/>
          <w:highlight w:val="none"/>
          <w:lang w:eastAsia="zh-CN"/>
        </w:rPr>
        <w:t>，</w:t>
      </w:r>
      <w:r>
        <w:rPr>
          <w:rFonts w:ascii="Times New Roman" w:hAnsi="Times New Roman" w:eastAsia="宋体" w:cs="Times New Roman"/>
          <w:color w:val="auto"/>
          <w:kern w:val="0"/>
          <w:sz w:val="24"/>
          <w:szCs w:val="21"/>
          <w:highlight w:val="none"/>
        </w:rPr>
        <w:t>熟悉相关政策法规和业务知识，能够胜任</w:t>
      </w:r>
      <w:r>
        <w:rPr>
          <w:rFonts w:hint="default" w:ascii="Times New Roman" w:hAnsi="Times New Roman" w:eastAsia="宋体" w:cs="Times New Roman"/>
          <w:color w:val="auto"/>
          <w:kern w:val="0"/>
          <w:sz w:val="24"/>
          <w:szCs w:val="21"/>
          <w:highlight w:val="none"/>
        </w:rPr>
        <w:t>服务</w:t>
      </w:r>
      <w:r>
        <w:rPr>
          <w:rFonts w:ascii="Times New Roman" w:hAnsi="Times New Roman" w:eastAsia="宋体" w:cs="Times New Roman"/>
          <w:color w:val="auto"/>
          <w:kern w:val="0"/>
          <w:sz w:val="24"/>
          <w:szCs w:val="21"/>
          <w:highlight w:val="none"/>
        </w:rPr>
        <w:t>工作，具有较高的业务素质和良好的职业道德；无违纪违法等不良记录；未发生违反职业道德事项，未发生重大差错事项，具有承担相应风险的能力。</w:t>
      </w:r>
      <w:r>
        <w:rPr>
          <w:rFonts w:hint="eastAsia" w:ascii="宋体" w:hAnsi="宋体" w:eastAsia="宋体" w:cs="宋体"/>
          <w:b/>
          <w:bCs/>
          <w:color w:val="auto"/>
          <w:kern w:val="2"/>
          <w:sz w:val="24"/>
          <w:szCs w:val="24"/>
          <w:highlight w:val="none"/>
        </w:rPr>
        <w:t>（供应商针对本条款的响应，根据其实际情况在其响应文件中提供满足或优于的承诺）</w:t>
      </w:r>
    </w:p>
    <w:p w14:paraId="75A4A5F3">
      <w:pPr>
        <w:overflowPunct w:val="0"/>
        <w:spacing w:line="360" w:lineRule="auto"/>
        <w:ind w:firstLine="48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bCs/>
          <w:color w:val="auto"/>
          <w:kern w:val="2"/>
          <w:sz w:val="24"/>
          <w:szCs w:val="24"/>
          <w:highlight w:val="none"/>
        </w:rPr>
        <w:t>★</w:t>
      </w:r>
      <w:r>
        <w:rPr>
          <w:rFonts w:hint="default" w:ascii="Times New Roman" w:hAnsi="Times New Roman" w:eastAsia="宋体" w:cs="Times New Roman"/>
          <w:b w:val="0"/>
          <w:bCs w:val="0"/>
          <w:color w:val="auto"/>
          <w:kern w:val="0"/>
          <w:sz w:val="24"/>
          <w:szCs w:val="21"/>
          <w:highlight w:val="none"/>
          <w:lang w:eastAsia="zh-CN"/>
        </w:rPr>
        <w:t>（</w:t>
      </w:r>
      <w:r>
        <w:rPr>
          <w:rFonts w:hint="eastAsia" w:ascii="Times New Roman" w:hAnsi="Times New Roman" w:eastAsia="宋体" w:cs="Times New Roman"/>
          <w:b w:val="0"/>
          <w:bCs w:val="0"/>
          <w:color w:val="auto"/>
          <w:kern w:val="0"/>
          <w:sz w:val="24"/>
          <w:szCs w:val="21"/>
          <w:highlight w:val="none"/>
          <w:lang w:val="en-US" w:eastAsia="zh-CN"/>
        </w:rPr>
        <w:t>4</w:t>
      </w:r>
      <w:r>
        <w:rPr>
          <w:rFonts w:hint="default" w:ascii="Times New Roman" w:hAnsi="Times New Roman" w:eastAsia="宋体" w:cs="Times New Roman"/>
          <w:b w:val="0"/>
          <w:bCs w:val="0"/>
          <w:color w:val="auto"/>
          <w:kern w:val="0"/>
          <w:sz w:val="24"/>
          <w:szCs w:val="21"/>
          <w:highlight w:val="none"/>
          <w:lang w:eastAsia="zh-CN"/>
        </w:rPr>
        <w:t>）</w:t>
      </w:r>
      <w:r>
        <w:rPr>
          <w:rFonts w:hint="default" w:ascii="Times New Roman" w:hAnsi="Times New Roman" w:eastAsia="宋体" w:cs="Times New Roman"/>
          <w:b w:val="0"/>
          <w:bCs w:val="0"/>
          <w:color w:val="auto"/>
          <w:kern w:val="0"/>
          <w:sz w:val="24"/>
          <w:szCs w:val="21"/>
          <w:highlight w:val="none"/>
        </w:rPr>
        <w:t>在框架协议服务期内，入围供应商</w:t>
      </w:r>
      <w:r>
        <w:rPr>
          <w:rFonts w:hint="default" w:ascii="Times New Roman" w:hAnsi="Times New Roman" w:eastAsia="宋体" w:cs="Times New Roman"/>
          <w:color w:val="auto"/>
          <w:kern w:val="0"/>
          <w:sz w:val="24"/>
          <w:szCs w:val="21"/>
          <w:highlight w:val="none"/>
        </w:rPr>
        <w:t>的项目组成员应</w:t>
      </w:r>
      <w:r>
        <w:rPr>
          <w:rFonts w:hint="default" w:ascii="Times New Roman" w:hAnsi="Times New Roman" w:eastAsia="宋体" w:cs="Times New Roman"/>
          <w:b w:val="0"/>
          <w:bCs w:val="0"/>
          <w:color w:val="auto"/>
          <w:kern w:val="0"/>
          <w:sz w:val="24"/>
          <w:szCs w:val="21"/>
          <w:highlight w:val="none"/>
        </w:rPr>
        <w:t>保持稳定，不得擅</w:t>
      </w:r>
      <w:r>
        <w:rPr>
          <w:rFonts w:hint="eastAsia" w:ascii="宋体" w:hAnsi="宋体" w:eastAsia="宋体" w:cs="宋体"/>
          <w:b w:val="0"/>
          <w:bCs w:val="0"/>
          <w:color w:val="auto"/>
          <w:kern w:val="2"/>
          <w:sz w:val="24"/>
          <w:szCs w:val="24"/>
          <w:highlight w:val="none"/>
        </w:rPr>
        <w:t>自变动。若因特殊情况确需调整，入围供应商必须提前以书面形式向采购人提交申请，待获得采购人书面同意后方可进行调整。同时，调整后的人员</w:t>
      </w:r>
      <w:r>
        <w:rPr>
          <w:rFonts w:hint="eastAsia" w:ascii="宋体" w:hAnsi="宋体" w:eastAsia="宋体" w:cs="宋体"/>
          <w:color w:val="auto"/>
          <w:kern w:val="2"/>
          <w:sz w:val="24"/>
          <w:szCs w:val="24"/>
          <w:highlight w:val="none"/>
        </w:rPr>
        <w:t>职称和职业资格</w:t>
      </w:r>
      <w:r>
        <w:rPr>
          <w:rFonts w:hint="eastAsia" w:ascii="宋体" w:hAnsi="宋体" w:eastAsia="宋体" w:cs="宋体"/>
          <w:b w:val="0"/>
          <w:bCs w:val="0"/>
          <w:color w:val="auto"/>
          <w:kern w:val="2"/>
          <w:sz w:val="24"/>
          <w:szCs w:val="24"/>
          <w:highlight w:val="none"/>
        </w:rPr>
        <w:t>必须与原人员</w:t>
      </w:r>
      <w:r>
        <w:rPr>
          <w:rFonts w:hint="eastAsia" w:ascii="宋体" w:hAnsi="宋体" w:eastAsia="宋体" w:cs="宋体"/>
          <w:color w:val="auto"/>
          <w:kern w:val="2"/>
          <w:sz w:val="24"/>
          <w:szCs w:val="24"/>
          <w:highlight w:val="none"/>
        </w:rPr>
        <w:t>保持</w:t>
      </w:r>
      <w:r>
        <w:rPr>
          <w:rFonts w:hint="eastAsia" w:ascii="宋体" w:hAnsi="宋体" w:eastAsia="宋体" w:cs="宋体"/>
          <w:b w:val="0"/>
          <w:bCs w:val="0"/>
          <w:color w:val="auto"/>
          <w:kern w:val="2"/>
          <w:sz w:val="24"/>
          <w:szCs w:val="24"/>
          <w:highlight w:val="none"/>
        </w:rPr>
        <w:t>一致，以确保服务的连续性和专业性不受影响。如擅自更换</w:t>
      </w:r>
      <w:r>
        <w:rPr>
          <w:rFonts w:hint="eastAsia" w:ascii="宋体" w:hAnsi="宋体" w:eastAsia="宋体" w:cs="宋体"/>
          <w:color w:val="auto"/>
          <w:kern w:val="2"/>
          <w:sz w:val="24"/>
          <w:szCs w:val="24"/>
          <w:highlight w:val="none"/>
        </w:rPr>
        <w:t>项目组成</w:t>
      </w:r>
      <w:r>
        <w:rPr>
          <w:rFonts w:hint="eastAsia" w:ascii="宋体" w:hAnsi="宋体" w:eastAsia="宋体" w:cs="宋体"/>
          <w:b w:val="0"/>
          <w:bCs w:val="0"/>
          <w:color w:val="auto"/>
          <w:kern w:val="2"/>
          <w:sz w:val="24"/>
          <w:szCs w:val="24"/>
          <w:highlight w:val="none"/>
        </w:rPr>
        <w:t>员，采购人有权中止本项目服务合同，并不支付当次服务费。</w:t>
      </w:r>
      <w:r>
        <w:rPr>
          <w:rFonts w:hint="eastAsia" w:ascii="宋体" w:hAnsi="宋体" w:eastAsia="宋体" w:cs="宋体"/>
          <w:b/>
          <w:bCs/>
          <w:color w:val="auto"/>
          <w:kern w:val="2"/>
          <w:sz w:val="24"/>
          <w:szCs w:val="24"/>
          <w:highlight w:val="none"/>
        </w:rPr>
        <w:t>（供应商针对本条款的响应，根据其实际情况在其响应文件中提供满足或优于的承诺）</w:t>
      </w:r>
    </w:p>
    <w:p w14:paraId="0B21152C">
      <w:pPr>
        <w:spacing w:line="360" w:lineRule="auto"/>
        <w:ind w:firstLine="470" w:firstLineChars="195"/>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）如采购人发现入围供应商人员不称职或无法胜任工作，可随时要求入围供应商更换人员。</w:t>
      </w:r>
      <w:r>
        <w:rPr>
          <w:rFonts w:hint="eastAsia" w:ascii="宋体" w:hAnsi="宋体" w:eastAsia="宋体" w:cs="宋体"/>
          <w:b/>
          <w:bCs/>
          <w:color w:val="auto"/>
          <w:kern w:val="2"/>
          <w:sz w:val="24"/>
          <w:szCs w:val="24"/>
          <w:highlight w:val="none"/>
        </w:rPr>
        <w:t>（供应商针对本条款的响应，根据其实际情况在其响应文件中提供满足或优于的承诺）</w:t>
      </w:r>
    </w:p>
    <w:p w14:paraId="5AD92AB1">
      <w:pPr>
        <w:overflowPunct w:val="0"/>
        <w:spacing w:line="360" w:lineRule="auto"/>
        <w:ind w:firstLine="480"/>
        <w:rPr>
          <w:rFonts w:ascii="Times New Roman" w:hAnsi="Times New Roman" w:eastAsia="宋体" w:cs="Times New Roman"/>
          <w:color w:val="auto"/>
          <w:kern w:val="0"/>
          <w:sz w:val="24"/>
          <w:szCs w:val="21"/>
          <w:highlight w:val="none"/>
        </w:rPr>
      </w:pPr>
      <w:r>
        <w:rPr>
          <w:rFonts w:hint="eastAsia" w:ascii="宋体" w:hAnsi="宋体" w:eastAsia="宋体" w:cs="宋体"/>
          <w:b/>
          <w:bCs/>
          <w:color w:val="auto"/>
          <w:kern w:val="2"/>
          <w:sz w:val="24"/>
          <w:szCs w:val="24"/>
          <w:highlight w:val="none"/>
        </w:rPr>
        <w:t>★</w:t>
      </w:r>
      <w:r>
        <w:rPr>
          <w:rFonts w:hint="eastAsia" w:ascii="Times New Roman" w:hAnsi="Times New Roman" w:eastAsia="宋体" w:cs="Times New Roman"/>
          <w:color w:val="auto"/>
          <w:kern w:val="0"/>
          <w:sz w:val="24"/>
          <w:szCs w:val="21"/>
          <w:highlight w:val="none"/>
          <w:lang w:val="en-US" w:eastAsia="zh-CN"/>
        </w:rPr>
        <w:t>6</w:t>
      </w:r>
      <w:r>
        <w:rPr>
          <w:rFonts w:ascii="Times New Roman" w:hAnsi="Times New Roman" w:eastAsia="宋体" w:cs="Times New Roman"/>
          <w:color w:val="auto"/>
          <w:kern w:val="0"/>
          <w:sz w:val="24"/>
          <w:szCs w:val="21"/>
          <w:highlight w:val="none"/>
        </w:rPr>
        <w:t>.</w:t>
      </w:r>
      <w:r>
        <w:rPr>
          <w:rFonts w:hint="eastAsia" w:ascii="Times New Roman" w:hAnsi="Times New Roman" w:eastAsia="宋体" w:cs="Times New Roman"/>
          <w:color w:val="auto"/>
          <w:kern w:val="0"/>
          <w:sz w:val="24"/>
          <w:szCs w:val="21"/>
          <w:highlight w:val="none"/>
        </w:rPr>
        <w:t>入围</w:t>
      </w:r>
      <w:r>
        <w:rPr>
          <w:rFonts w:ascii="Times New Roman" w:hAnsi="Times New Roman" w:eastAsia="宋体" w:cs="Times New Roman"/>
          <w:color w:val="auto"/>
          <w:kern w:val="0"/>
          <w:sz w:val="24"/>
          <w:szCs w:val="21"/>
          <w:highlight w:val="none"/>
        </w:rPr>
        <w:t>供应商在服务期间应严格遵守国家法规，若违反有关规定，由此造成采购人的一切损失，均由</w:t>
      </w:r>
      <w:r>
        <w:rPr>
          <w:rFonts w:hint="eastAsia" w:ascii="Times New Roman" w:hAnsi="Times New Roman" w:eastAsia="宋体" w:cs="Times New Roman"/>
          <w:color w:val="auto"/>
          <w:kern w:val="0"/>
          <w:sz w:val="24"/>
          <w:szCs w:val="21"/>
          <w:highlight w:val="none"/>
          <w:lang w:eastAsia="zh-CN"/>
        </w:rPr>
        <w:t>入围供应商</w:t>
      </w:r>
      <w:r>
        <w:rPr>
          <w:rFonts w:ascii="Times New Roman" w:hAnsi="Times New Roman" w:eastAsia="宋体" w:cs="Times New Roman"/>
          <w:color w:val="auto"/>
          <w:kern w:val="0"/>
          <w:sz w:val="24"/>
          <w:szCs w:val="21"/>
          <w:highlight w:val="none"/>
        </w:rPr>
        <w:t>承担。</w:t>
      </w:r>
      <w:r>
        <w:rPr>
          <w:rFonts w:hint="default" w:ascii="Times New Roman" w:hAnsi="Times New Roman" w:eastAsia="宋体" w:cs="Times New Roman"/>
          <w:b/>
          <w:bCs/>
          <w:color w:val="auto"/>
          <w:kern w:val="0"/>
          <w:sz w:val="24"/>
          <w:szCs w:val="21"/>
          <w:highlight w:val="none"/>
        </w:rPr>
        <w:t>（供应商针对本条款的响应，根据其实际情况在其响应文件中提供满足或优于的承诺）</w:t>
      </w:r>
    </w:p>
    <w:p w14:paraId="0A6DE575">
      <w:pPr>
        <w:overflowPunct w:val="0"/>
        <w:spacing w:line="360" w:lineRule="auto"/>
        <w:ind w:firstLine="480" w:firstLineChars="0"/>
        <w:rPr>
          <w:rFonts w:hint="default" w:ascii="Times New Roman" w:hAnsi="Times New Roman" w:eastAsia="宋体" w:cs="Times New Roman"/>
          <w:b/>
          <w:bCs/>
          <w:color w:val="auto"/>
          <w:kern w:val="0"/>
          <w:sz w:val="24"/>
          <w:szCs w:val="21"/>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.供应商须提供本项目详细的服务方案，服务期内，无正当理由不得拒绝委托。已接受委托的项目，必须按照</w:t>
      </w:r>
      <w:r>
        <w:rPr>
          <w:rFonts w:hint="eastAsia" w:ascii="宋体" w:hAnsi="宋体" w:eastAsia="宋体" w:cs="宋体"/>
          <w:color w:val="auto"/>
          <w:kern w:val="2"/>
          <w:sz w:val="24"/>
          <w:szCs w:val="24"/>
          <w:highlight w:val="none"/>
          <w:lang w:eastAsia="zh-CN"/>
        </w:rPr>
        <w:t>单项项目服务</w:t>
      </w:r>
      <w:r>
        <w:rPr>
          <w:rFonts w:hint="eastAsia" w:ascii="宋体" w:hAnsi="宋体" w:eastAsia="宋体" w:cs="宋体"/>
          <w:color w:val="auto"/>
          <w:kern w:val="2"/>
          <w:sz w:val="24"/>
          <w:szCs w:val="24"/>
          <w:highlight w:val="none"/>
        </w:rPr>
        <w:t>合同要求按时按质完成任务。</w:t>
      </w:r>
      <w:r>
        <w:rPr>
          <w:rFonts w:hint="eastAsia" w:ascii="宋体" w:hAnsi="宋体" w:eastAsia="宋体" w:cs="宋体"/>
          <w:color w:val="auto"/>
          <w:kern w:val="2"/>
          <w:sz w:val="24"/>
          <w:szCs w:val="24"/>
          <w:highlight w:val="none"/>
          <w:lang w:val="zh-CN"/>
        </w:rPr>
        <w:t>不得擅自</w:t>
      </w:r>
      <w:r>
        <w:rPr>
          <w:rFonts w:hint="default" w:ascii="宋体" w:hAnsi="宋体" w:eastAsia="宋体" w:cs="宋体"/>
          <w:color w:val="auto"/>
          <w:kern w:val="2"/>
          <w:sz w:val="24"/>
          <w:szCs w:val="24"/>
          <w:highlight w:val="none"/>
          <w:lang w:val="zh-CN"/>
        </w:rPr>
        <w:t>将</w:t>
      </w:r>
      <w:r>
        <w:rPr>
          <w:rFonts w:hint="default" w:ascii="Times New Roman" w:hAnsi="Times New Roman" w:eastAsia="宋体" w:cs="Times New Roman"/>
          <w:b w:val="0"/>
          <w:color w:val="auto"/>
          <w:kern w:val="0"/>
          <w:sz w:val="24"/>
          <w:szCs w:val="21"/>
          <w:highlight w:val="none"/>
          <w:lang w:val="zh-CN"/>
        </w:rPr>
        <w:t>受托项目转委托给第三方承担。</w:t>
      </w:r>
      <w:r>
        <w:rPr>
          <w:rFonts w:hint="default" w:ascii="Times New Roman" w:hAnsi="Times New Roman" w:eastAsia="宋体" w:cs="Times New Roman"/>
          <w:b/>
          <w:bCs/>
          <w:color w:val="auto"/>
          <w:kern w:val="0"/>
          <w:sz w:val="24"/>
          <w:szCs w:val="21"/>
          <w:highlight w:val="none"/>
        </w:rPr>
        <w:t>（供应商针对本条款的响应，根据其实际情况在其响应文件中提供满足或优于的承诺）</w:t>
      </w:r>
    </w:p>
    <w:p w14:paraId="7B71582D">
      <w:pPr>
        <w:spacing w:line="360" w:lineRule="auto"/>
        <w:ind w:firstLine="480" w:firstLineChars="200"/>
        <w:rPr>
          <w:rFonts w:hint="eastAsia"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8</w:t>
      </w:r>
      <w:r>
        <w:rPr>
          <w:rFonts w:hint="eastAsia" w:ascii="宋体" w:hAnsi="宋体" w:eastAsia="宋体" w:cs="宋体"/>
          <w:color w:val="auto"/>
          <w:kern w:val="2"/>
          <w:sz w:val="24"/>
          <w:szCs w:val="24"/>
          <w:highlight w:val="none"/>
        </w:rPr>
        <w:t>.</w:t>
      </w:r>
      <w:r>
        <w:rPr>
          <w:rFonts w:hint="eastAsia" w:ascii="宋体" w:hAnsi="宋体" w:eastAsia="宋体" w:cs="宋体"/>
          <w:b/>
          <w:color w:val="auto"/>
          <w:kern w:val="2"/>
          <w:sz w:val="24"/>
          <w:szCs w:val="24"/>
          <w:highlight w:val="none"/>
        </w:rPr>
        <w:t>第一阶段入围</w:t>
      </w:r>
      <w:r>
        <w:rPr>
          <w:rFonts w:hint="eastAsia" w:ascii="宋体" w:hAnsi="宋体" w:eastAsia="宋体" w:cs="宋体"/>
          <w:color w:val="auto"/>
          <w:kern w:val="2"/>
          <w:sz w:val="24"/>
          <w:szCs w:val="24"/>
          <w:highlight w:val="none"/>
        </w:rPr>
        <w:t>供应商的管理</w:t>
      </w:r>
    </w:p>
    <w:p w14:paraId="7372CD1C">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（1）供应商必须承诺在服务有效期内接受并认真完成采购人根据项目情况安排的</w:t>
      </w:r>
      <w:r>
        <w:rPr>
          <w:rFonts w:hint="eastAsia" w:ascii="宋体" w:hAnsi="宋体" w:eastAsia="宋体" w:cs="宋体"/>
          <w:color w:val="auto"/>
          <w:kern w:val="2"/>
          <w:sz w:val="24"/>
          <w:szCs w:val="24"/>
          <w:highlight w:val="none"/>
          <w:lang w:val="en-US" w:eastAsia="zh-CN"/>
        </w:rPr>
        <w:t>委托服务</w:t>
      </w:r>
      <w:r>
        <w:rPr>
          <w:rFonts w:hint="eastAsia" w:ascii="宋体" w:hAnsi="宋体" w:eastAsia="宋体" w:cs="宋体"/>
          <w:color w:val="auto"/>
          <w:kern w:val="2"/>
          <w:sz w:val="24"/>
          <w:szCs w:val="24"/>
          <w:highlight w:val="none"/>
        </w:rPr>
        <w:t>工作。</w:t>
      </w:r>
    </w:p>
    <w:p w14:paraId="21DA8498">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（2）在服务过程中，若因业务不精通、服务不佳、存在不规范操作等问题，采购人有权单方减少委托服务项目直至取消服务资格。</w:t>
      </w:r>
    </w:p>
    <w:p w14:paraId="4D026164">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（3）服务期间，采购人对入围供应商实施动态管理。</w:t>
      </w:r>
      <w:r>
        <w:rPr>
          <w:rFonts w:hint="eastAsia" w:ascii="宋体" w:hAnsi="宋体" w:eastAsia="宋体" w:cs="宋体"/>
          <w:b/>
          <w:color w:val="auto"/>
          <w:kern w:val="2"/>
          <w:sz w:val="24"/>
          <w:szCs w:val="24"/>
          <w:highlight w:val="none"/>
        </w:rPr>
        <w:t>第一阶段入围</w:t>
      </w:r>
      <w:r>
        <w:rPr>
          <w:rFonts w:hint="eastAsia" w:ascii="宋体" w:hAnsi="宋体" w:eastAsia="宋体" w:cs="宋体"/>
          <w:color w:val="auto"/>
          <w:kern w:val="2"/>
          <w:sz w:val="24"/>
          <w:szCs w:val="24"/>
          <w:highlight w:val="none"/>
        </w:rPr>
        <w:t>供应商有下列情况之一将被取消服务资格：</w:t>
      </w:r>
    </w:p>
    <w:p w14:paraId="6FE09F13">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①执业人员与</w:t>
      </w:r>
      <w:r>
        <w:rPr>
          <w:rFonts w:hint="eastAsia" w:ascii="宋体" w:hAnsi="宋体" w:eastAsia="宋体" w:cs="宋体"/>
          <w:color w:val="auto"/>
          <w:kern w:val="2"/>
          <w:sz w:val="24"/>
          <w:szCs w:val="24"/>
          <w:highlight w:val="none"/>
          <w:lang w:val="en-US" w:eastAsia="zh-CN"/>
        </w:rPr>
        <w:t>被评价对象</w:t>
      </w:r>
      <w:r>
        <w:rPr>
          <w:rFonts w:hint="eastAsia" w:ascii="宋体" w:hAnsi="宋体" w:eastAsia="宋体" w:cs="宋体"/>
          <w:color w:val="auto"/>
          <w:kern w:val="2"/>
          <w:sz w:val="24"/>
          <w:szCs w:val="24"/>
          <w:highlight w:val="none"/>
        </w:rPr>
        <w:t>串通。</w:t>
      </w:r>
    </w:p>
    <w:p w14:paraId="6B16BBC8">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r>
        <w:rPr>
          <w:rFonts w:hint="eastAsia" w:ascii="宋体" w:hAnsi="宋体" w:eastAsia="宋体" w:cs="宋体"/>
          <w:color w:val="auto"/>
          <w:kern w:val="2"/>
          <w:sz w:val="24"/>
          <w:szCs w:val="24"/>
          <w:highlight w:val="none"/>
          <w:lang w:eastAsia="zh-CN"/>
        </w:rPr>
        <w:t>入围供应商</w:t>
      </w:r>
      <w:r>
        <w:rPr>
          <w:rFonts w:hint="eastAsia" w:ascii="宋体" w:hAnsi="宋体" w:eastAsia="宋体" w:cs="宋体"/>
          <w:color w:val="auto"/>
          <w:kern w:val="2"/>
          <w:sz w:val="24"/>
          <w:szCs w:val="24"/>
          <w:highlight w:val="none"/>
        </w:rPr>
        <w:t>无故拒绝委托项目。</w:t>
      </w:r>
    </w:p>
    <w:p w14:paraId="43825599">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③未按投标书承诺,按时完成受托工作。</w:t>
      </w:r>
    </w:p>
    <w:p w14:paraId="7B2BB36C">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④不遵守保密原则，将</w:t>
      </w:r>
      <w:r>
        <w:rPr>
          <w:rFonts w:hint="eastAsia" w:ascii="宋体" w:hAnsi="宋体" w:eastAsia="宋体" w:cs="宋体"/>
          <w:color w:val="auto"/>
          <w:kern w:val="2"/>
          <w:sz w:val="24"/>
          <w:szCs w:val="24"/>
          <w:highlight w:val="none"/>
          <w:lang w:val="en-US" w:eastAsia="zh-CN"/>
        </w:rPr>
        <w:t>案件</w:t>
      </w:r>
      <w:r>
        <w:rPr>
          <w:rFonts w:hint="eastAsia" w:ascii="宋体" w:hAnsi="宋体" w:eastAsia="宋体" w:cs="宋体"/>
          <w:color w:val="auto"/>
          <w:kern w:val="2"/>
          <w:sz w:val="24"/>
          <w:szCs w:val="24"/>
          <w:highlight w:val="none"/>
        </w:rPr>
        <w:t>信息泄露给无关人员或第三方。</w:t>
      </w:r>
    </w:p>
    <w:p w14:paraId="2AF0DD68">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⑤所取得资质条件发生变化，不再符合本项目第一阶段征集文件规定的“供应商资格要求”的。</w:t>
      </w:r>
    </w:p>
    <w:p w14:paraId="71BD6718">
      <w:pPr>
        <w:spacing w:line="360" w:lineRule="auto"/>
        <w:ind w:firstLine="468" w:firstLineChars="19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⑥其他违反法律、法规和业务约定的行为。</w:t>
      </w:r>
    </w:p>
    <w:p w14:paraId="587E1BF0">
      <w:pPr>
        <w:spacing w:line="360" w:lineRule="auto"/>
        <w:ind w:firstLine="482" w:firstLineChars="200"/>
        <w:jc w:val="lef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w:t>
      </w:r>
      <w:r>
        <w:rPr>
          <w:rFonts w:ascii="宋体" w:hAnsi="宋体" w:eastAsia="宋体" w:cs="宋体"/>
          <w:b/>
          <w:color w:val="auto"/>
          <w:kern w:val="2"/>
          <w:sz w:val="24"/>
          <w:szCs w:val="24"/>
          <w:highlight w:val="none"/>
        </w:rPr>
        <w:t>9</w:t>
      </w:r>
      <w:r>
        <w:rPr>
          <w:rFonts w:hint="eastAsia" w:ascii="宋体" w:hAnsi="宋体" w:eastAsia="宋体" w:cs="宋体"/>
          <w:b/>
          <w:color w:val="auto"/>
          <w:kern w:val="2"/>
          <w:sz w:val="24"/>
          <w:szCs w:val="24"/>
          <w:highlight w:val="none"/>
        </w:rPr>
        <w:t>.其他要求（供应商针对本条款的响应根据其实际情况在其响应文件中提供满足的承诺）</w:t>
      </w:r>
    </w:p>
    <w:p w14:paraId="4AE1EB07">
      <w:pPr>
        <w:spacing w:line="360" w:lineRule="auto"/>
        <w:ind w:firstLine="482" w:firstLineChars="200"/>
        <w:jc w:val="left"/>
        <w:rPr>
          <w:rFonts w:hint="eastAsia" w:ascii="宋体" w:hAnsi="宋体" w:cs="宋体"/>
          <w:color w:val="auto"/>
          <w:sz w:val="24"/>
          <w:szCs w:val="24"/>
          <w:highlight w:val="none"/>
        </w:rPr>
        <w:sectPr>
          <w:footerReference r:id="rId3" w:type="even"/>
          <w:pgSz w:w="11905" w:h="16840"/>
          <w:pgMar w:top="1440" w:right="1797" w:bottom="1440" w:left="1797" w:header="851" w:footer="85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b/>
          <w:color w:val="auto"/>
          <w:kern w:val="2"/>
          <w:sz w:val="24"/>
          <w:szCs w:val="24"/>
          <w:highlight w:val="none"/>
        </w:rPr>
        <w:t>供应商应充分考虑投标风险，无条件完全接受</w:t>
      </w:r>
      <w:r>
        <w:rPr>
          <w:rFonts w:hint="eastAsia" w:ascii="宋体" w:hAnsi="宋体" w:eastAsia="宋体" w:cs="宋体"/>
          <w:b/>
          <w:color w:val="auto"/>
          <w:kern w:val="2"/>
          <w:sz w:val="24"/>
          <w:szCs w:val="24"/>
          <w:highlight w:val="none"/>
          <w:lang w:val="en-US" w:eastAsia="zh-CN"/>
        </w:rPr>
        <w:t>采购人</w:t>
      </w:r>
      <w:r>
        <w:rPr>
          <w:rFonts w:hint="eastAsia" w:ascii="宋体" w:hAnsi="宋体" w:eastAsia="宋体" w:cs="宋体"/>
          <w:b/>
          <w:color w:val="auto"/>
          <w:kern w:val="2"/>
          <w:sz w:val="24"/>
          <w:szCs w:val="24"/>
          <w:highlight w:val="none"/>
        </w:rPr>
        <w:t>因</w:t>
      </w:r>
      <w:r>
        <w:rPr>
          <w:rFonts w:hint="eastAsia" w:ascii="宋体" w:hAnsi="宋体" w:eastAsia="宋体" w:cs="宋体"/>
          <w:b/>
          <w:color w:val="auto"/>
          <w:kern w:val="2"/>
          <w:sz w:val="24"/>
          <w:szCs w:val="24"/>
          <w:highlight w:val="none"/>
          <w:lang w:val="en-US" w:eastAsia="zh-CN"/>
        </w:rPr>
        <w:t>入围供应商提供的产品（服务）</w:t>
      </w:r>
      <w:r>
        <w:rPr>
          <w:rFonts w:hint="eastAsia" w:ascii="宋体" w:hAnsi="宋体" w:eastAsia="宋体" w:cs="宋体"/>
          <w:b/>
          <w:color w:val="auto"/>
          <w:kern w:val="2"/>
          <w:sz w:val="24"/>
          <w:szCs w:val="24"/>
          <w:highlight w:val="none"/>
        </w:rPr>
        <w:t>价格、服务质量、服务便利性、用户评价等</w:t>
      </w:r>
      <w:r>
        <w:rPr>
          <w:rFonts w:hint="eastAsia" w:ascii="宋体" w:hAnsi="宋体" w:eastAsia="宋体" w:cs="宋体"/>
          <w:b/>
          <w:color w:val="auto"/>
          <w:kern w:val="2"/>
          <w:sz w:val="24"/>
          <w:szCs w:val="24"/>
          <w:highlight w:val="none"/>
          <w:lang w:val="en-US" w:eastAsia="zh-CN"/>
        </w:rPr>
        <w:t>原因，</w:t>
      </w:r>
      <w:r>
        <w:rPr>
          <w:rFonts w:hint="eastAsia" w:ascii="宋体" w:hAnsi="宋体" w:eastAsia="宋体" w:cs="宋体"/>
          <w:b/>
          <w:color w:val="auto"/>
          <w:kern w:val="2"/>
          <w:sz w:val="24"/>
          <w:szCs w:val="24"/>
          <w:highlight w:val="none"/>
        </w:rPr>
        <w:t>导致</w:t>
      </w:r>
      <w:r>
        <w:rPr>
          <w:rFonts w:hint="eastAsia" w:ascii="宋体" w:hAnsi="宋体" w:eastAsia="宋体" w:cs="宋体"/>
          <w:b/>
          <w:color w:val="auto"/>
          <w:kern w:val="2"/>
          <w:sz w:val="24"/>
          <w:szCs w:val="24"/>
          <w:highlight w:val="none"/>
          <w:lang w:val="en-US" w:eastAsia="zh-CN"/>
        </w:rPr>
        <w:t>采购人安排其（入围供应商）</w:t>
      </w:r>
      <w:r>
        <w:rPr>
          <w:rFonts w:hint="eastAsia" w:ascii="宋体" w:hAnsi="宋体" w:eastAsia="宋体" w:cs="宋体"/>
          <w:b/>
          <w:color w:val="auto"/>
          <w:kern w:val="2"/>
          <w:sz w:val="24"/>
          <w:szCs w:val="24"/>
          <w:highlight w:val="none"/>
        </w:rPr>
        <w:t>承接</w:t>
      </w:r>
      <w:r>
        <w:rPr>
          <w:rFonts w:hint="eastAsia" w:ascii="宋体" w:hAnsi="宋体" w:eastAsia="宋体" w:cs="宋体"/>
          <w:b/>
          <w:color w:val="auto"/>
          <w:kern w:val="2"/>
          <w:sz w:val="24"/>
          <w:szCs w:val="24"/>
          <w:highlight w:val="none"/>
          <w:lang w:val="en-US" w:eastAsia="zh-CN"/>
        </w:rPr>
        <w:t>单项</w:t>
      </w:r>
      <w:r>
        <w:rPr>
          <w:rFonts w:hint="eastAsia" w:ascii="宋体" w:hAnsi="宋体" w:eastAsia="宋体" w:cs="宋体"/>
          <w:b/>
          <w:color w:val="auto"/>
          <w:kern w:val="2"/>
          <w:sz w:val="24"/>
          <w:szCs w:val="24"/>
          <w:highlight w:val="none"/>
        </w:rPr>
        <w:t>项目数量不多或不承接</w:t>
      </w:r>
      <w:r>
        <w:rPr>
          <w:rFonts w:hint="eastAsia" w:ascii="宋体" w:hAnsi="宋体" w:eastAsia="宋体" w:cs="宋体"/>
          <w:b/>
          <w:color w:val="auto"/>
          <w:kern w:val="2"/>
          <w:sz w:val="24"/>
          <w:szCs w:val="24"/>
          <w:highlight w:val="none"/>
          <w:lang w:val="en-US" w:eastAsia="zh-CN"/>
        </w:rPr>
        <w:t>单项</w:t>
      </w:r>
      <w:r>
        <w:rPr>
          <w:rFonts w:hint="eastAsia" w:ascii="宋体" w:hAnsi="宋体" w:eastAsia="宋体" w:cs="宋体"/>
          <w:b/>
          <w:color w:val="auto"/>
          <w:kern w:val="2"/>
          <w:sz w:val="24"/>
          <w:szCs w:val="24"/>
          <w:highlight w:val="none"/>
        </w:rPr>
        <w:t>项目的风险。</w:t>
      </w:r>
    </w:p>
    <w:p w14:paraId="14CDBF68">
      <w:pPr>
        <w:jc w:val="left"/>
        <w:rPr>
          <w:rFonts w:hint="eastAsia" w:ascii="Times New Roman" w:hAnsi="Times New Roman" w:eastAsia="宋体" w:cs="Times New Roman"/>
          <w:b/>
          <w:color w:val="auto"/>
          <w:kern w:val="0"/>
          <w:sz w:val="24"/>
          <w:szCs w:val="16"/>
          <w:highlight w:val="none"/>
          <w:lang w:bidi="ar"/>
        </w:rPr>
      </w:pPr>
      <w:r>
        <w:rPr>
          <w:rFonts w:hint="eastAsia" w:ascii="Times New Roman" w:hAnsi="Times New Roman" w:eastAsia="宋体" w:cs="Times New Roman"/>
          <w:b/>
          <w:color w:val="auto"/>
          <w:kern w:val="0"/>
          <w:sz w:val="24"/>
          <w:szCs w:val="16"/>
          <w:highlight w:val="none"/>
          <w:lang w:bidi="ar"/>
        </w:rPr>
        <w:t>附件：收费标准</w:t>
      </w:r>
    </w:p>
    <w:p w14:paraId="76F10F7C">
      <w:pPr>
        <w:jc w:val="left"/>
        <w:rPr>
          <w:rFonts w:hint="eastAsia" w:ascii="Times New Roman" w:hAnsi="Times New Roman" w:eastAsia="宋体" w:cs="Times New Roman"/>
          <w:b/>
          <w:color w:val="auto"/>
          <w:kern w:val="0"/>
          <w:sz w:val="24"/>
          <w:szCs w:val="16"/>
          <w:highlight w:val="none"/>
          <w:lang w:bidi="ar"/>
        </w:rPr>
      </w:pPr>
    </w:p>
    <w:tbl>
      <w:tblPr>
        <w:tblStyle w:val="2"/>
        <w:tblW w:w="5034"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623"/>
        <w:gridCol w:w="5261"/>
      </w:tblGrid>
      <w:tr w14:paraId="3B9C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F4F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449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人员类别</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2C5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最高收费限额(元/小时)</w:t>
            </w:r>
          </w:p>
        </w:tc>
      </w:tr>
      <w:tr w14:paraId="3815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7BB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BB49">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i w:val="0"/>
                <w:iCs w:val="0"/>
                <w:color w:val="000000"/>
                <w:kern w:val="0"/>
                <w:sz w:val="24"/>
                <w:szCs w:val="24"/>
                <w:highlight w:val="none"/>
                <w:u w:val="none"/>
              </w:rPr>
            </w:pPr>
            <w:r>
              <w:rPr>
                <w:rFonts w:hint="default" w:ascii="宋体" w:hAnsi="宋体" w:eastAsia="宋体" w:cs="宋体"/>
                <w:kern w:val="0"/>
                <w:sz w:val="24"/>
                <w:szCs w:val="24"/>
                <w:highlight w:val="none"/>
              </w:rPr>
              <w:t>高级职称人员或注册会计师</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DD0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r>
      <w:tr w14:paraId="5F2E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4B9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E7DE">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i w:val="0"/>
                <w:iCs w:val="0"/>
                <w:color w:val="000000"/>
                <w:kern w:val="0"/>
                <w:sz w:val="24"/>
                <w:szCs w:val="24"/>
                <w:highlight w:val="none"/>
                <w:u w:val="none"/>
              </w:rPr>
            </w:pPr>
            <w:r>
              <w:rPr>
                <w:rFonts w:hint="default" w:ascii="宋体" w:hAnsi="宋体" w:eastAsia="宋体" w:cs="宋体"/>
                <w:kern w:val="0"/>
                <w:sz w:val="24"/>
                <w:szCs w:val="24"/>
                <w:highlight w:val="none"/>
              </w:rPr>
              <w:t>中级职称人员或会计师</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C81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r>
      <w:tr w14:paraId="4E33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92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11F">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rPr>
              <w:t>初级职称及以下人员</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2A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r>
      <w:bookmarkEnd w:id="4"/>
    </w:tbl>
    <w:p w14:paraId="5343385A"/>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B977">
    <w:pPr>
      <w:framePr w:wrap="around" w:vAnchor="text" w:hAnchor="margin" w:xAlign="center" w:y="1"/>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fldChar w:fldCharType="end"/>
    </w:r>
  </w:p>
  <w:p w14:paraId="7CD5518D">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E2EB">
    <w:pPr>
      <w:pBdr>
        <w:top w:val="single" w:color="808080" w:sz="4" w:space="1"/>
      </w:pBdr>
      <w:adjustRightInd w:val="0"/>
      <w:snapToGrid w:val="0"/>
      <w:rPr>
        <w:rFonts w:ascii="仿宋_GB2312" w:hAnsi="Times New Roman" w:eastAsia="仿宋_GB2312" w:cs="Times New Roman"/>
        <w:kern w:val="2"/>
        <w:sz w:val="21"/>
        <w:szCs w:val="24"/>
      </w:rPr>
    </w:pPr>
    <w:r>
      <w:rPr>
        <w:rFonts w:hint="eastAsia" w:ascii="仿宋_GB2312" w:hAnsi="宋体" w:eastAsia="仿宋_GB2312" w:cs="Times New Roman"/>
        <w:kern w:val="2"/>
        <w:sz w:val="18"/>
        <w:szCs w:val="18"/>
      </w:rPr>
      <w:t>江汉大学</w:t>
    </w:r>
    <w:r>
      <w:rPr>
        <w:rFonts w:hint="eastAsia" w:ascii="仿宋" w:hAnsi="仿宋" w:eastAsia="仿宋" w:cs="仿宋_GB2312"/>
        <w:kern w:val="2"/>
        <w:sz w:val="18"/>
        <w:szCs w:val="18"/>
      </w:rPr>
      <w:t xml:space="preserve"> </w:t>
    </w:r>
    <w:r>
      <w:rPr>
        <w:rFonts w:ascii="仿宋_GB2312" w:hAnsi="仿宋_GB2312" w:eastAsia="仿宋_GB2312" w:cs="仿宋_GB2312"/>
        <w:kern w:val="2"/>
        <w:sz w:val="18"/>
        <w:szCs w:val="18"/>
      </w:rPr>
      <w:t xml:space="preserve">       </w:t>
    </w:r>
    <w:r>
      <w:rPr>
        <w:rFonts w:hint="eastAsia" w:ascii="仿宋_GB2312" w:hAnsi="宋体" w:eastAsia="仿宋_GB2312" w:cs="Times New Roman"/>
        <w:kern w:val="2"/>
        <w:sz w:val="18"/>
        <w:szCs w:val="18"/>
      </w:rPr>
      <w:t xml:space="preserve">                        </w:t>
    </w:r>
    <w:r>
      <w:rPr>
        <w:rFonts w:ascii="仿宋_GB2312" w:hAnsi="宋体" w:eastAsia="仿宋_GB2312" w:cs="Times New Roman"/>
        <w:kern w:val="2"/>
        <w:sz w:val="18"/>
        <w:szCs w:val="18"/>
      </w:rPr>
      <w:t xml:space="preserve"> </w:t>
    </w:r>
    <w:r>
      <w:rPr>
        <w:rFonts w:ascii="Times New Roman" w:hAnsi="Times New Roman" w:eastAsia="仿宋_GB2312" w:cs="Times New Roman"/>
        <w:kern w:val="2"/>
        <w:sz w:val="18"/>
        <w:szCs w:val="18"/>
      </w:rPr>
      <w:fldChar w:fldCharType="begin"/>
    </w:r>
    <w:r>
      <w:rPr>
        <w:rFonts w:ascii="Times New Roman" w:hAnsi="Times New Roman" w:eastAsia="仿宋_GB2312" w:cs="Times New Roman"/>
        <w:kern w:val="2"/>
        <w:sz w:val="18"/>
        <w:szCs w:val="18"/>
      </w:rPr>
      <w:instrText xml:space="preserve"> PAGE   \* MERGEFORMAT </w:instrText>
    </w:r>
    <w:r>
      <w:rPr>
        <w:rFonts w:ascii="Times New Roman" w:hAnsi="Times New Roman" w:eastAsia="仿宋_GB2312" w:cs="Times New Roman"/>
        <w:kern w:val="2"/>
        <w:sz w:val="18"/>
        <w:szCs w:val="18"/>
      </w:rPr>
      <w:fldChar w:fldCharType="separate"/>
    </w:r>
    <w:r>
      <w:rPr>
        <w:rFonts w:ascii="Times New Roman" w:hAnsi="Times New Roman" w:eastAsia="仿宋_GB2312" w:cs="Times New Roman"/>
        <w:kern w:val="2"/>
        <w:sz w:val="18"/>
        <w:szCs w:val="18"/>
      </w:rPr>
      <w:t>35</w:t>
    </w:r>
    <w:r>
      <w:rPr>
        <w:rFonts w:ascii="Times New Roman" w:hAnsi="Times New Roman" w:eastAsia="仿宋_GB2312" w:cs="Times New Roman"/>
        <w:kern w:val="2"/>
        <w:sz w:val="18"/>
        <w:szCs w:val="18"/>
      </w:rPr>
      <w:fldChar w:fldCharType="end"/>
    </w:r>
    <w:r>
      <w:rPr>
        <w:rFonts w:hint="eastAsia" w:ascii="仿宋_GB2312" w:hAnsi="宋体" w:eastAsia="仿宋_GB2312" w:cs="Times New Roman"/>
        <w:kern w:val="2"/>
        <w:sz w:val="18"/>
        <w:szCs w:val="18"/>
      </w:rPr>
      <w:t xml:space="preserve">                 </w:t>
    </w:r>
    <w:r>
      <w:rPr>
        <w:rFonts w:ascii="仿宋_GB2312" w:hAnsi="宋体" w:eastAsia="仿宋_GB2312" w:cs="Times New Roman"/>
        <w:kern w:val="2"/>
        <w:sz w:val="18"/>
        <w:szCs w:val="18"/>
      </w:rPr>
      <w:t xml:space="preserve">  </w:t>
    </w:r>
    <w:r>
      <w:rPr>
        <w:rFonts w:hint="eastAsia" w:ascii="仿宋_GB2312" w:hAnsi="宋体" w:eastAsia="仿宋_GB2312" w:cs="Times New Roman"/>
        <w:kern w:val="2"/>
        <w:sz w:val="18"/>
        <w:szCs w:val="18"/>
      </w:rPr>
      <w:t xml:space="preserve">   </w:t>
    </w:r>
    <w:r>
      <w:rPr>
        <w:rFonts w:ascii="仿宋_GB2312" w:hAnsi="宋体" w:eastAsia="仿宋_GB2312" w:cs="Times New Roman"/>
        <w:kern w:val="2"/>
        <w:sz w:val="18"/>
        <w:szCs w:val="18"/>
      </w:rPr>
      <w:t xml:space="preserve"> </w:t>
    </w:r>
    <w:r>
      <w:rPr>
        <w:rFonts w:hint="eastAsia" w:ascii="仿宋_GB2312" w:hAnsi="宋体" w:eastAsia="仿宋_GB2312" w:cs="Times New Roman"/>
        <w:kern w:val="2"/>
        <w:sz w:val="18"/>
        <w:szCs w:val="18"/>
      </w:rPr>
      <w:t xml:space="preserve">    </w:t>
    </w:r>
    <w:r>
      <w:rPr>
        <w:rFonts w:hint="eastAsia" w:ascii="仿宋_GB2312" w:hAnsi="仿宋_GB2312" w:eastAsia="仿宋_GB2312" w:cs="仿宋_GB2312"/>
        <w:kern w:val="2"/>
        <w:sz w:val="18"/>
        <w:szCs w:val="18"/>
      </w:rPr>
      <w:t>湖北省招标股份有限公司</w:t>
    </w:r>
  </w:p>
  <w:p w14:paraId="3AED5665">
    <w:pPr>
      <w:widowControl w:val="0"/>
      <w:tabs>
        <w:tab w:val="center" w:pos="4153"/>
        <w:tab w:val="right" w:pos="8306"/>
      </w:tabs>
      <w:snapToGrid w:val="0"/>
      <w:jc w:val="left"/>
      <w:rPr>
        <w:rFonts w:hint="eastAsia"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BD7C">
    <w:pPr>
      <w:widowControl w:val="0"/>
      <w:pBdr>
        <w:bottom w:val="single" w:color="auto" w:sz="4" w:space="1"/>
      </w:pBdr>
      <w:tabs>
        <w:tab w:val="center" w:pos="4153"/>
        <w:tab w:val="right" w:pos="8299"/>
      </w:tabs>
      <w:snapToGrid w:val="0"/>
      <w:jc w:val="right"/>
      <w:rPr>
        <w:rFonts w:hint="eastAsia" w:ascii="仿宋_GB2312" w:hAnsi="Times New Roman" w:eastAsia="仿宋_GB2312" w:cs="Times New Roman"/>
        <w:sz w:val="18"/>
        <w:szCs w:val="18"/>
        <w:lang w:val="en-US" w:eastAsia="zh-CN" w:bidi="ar-SA"/>
      </w:rPr>
    </w:pPr>
    <w:r>
      <w:rPr>
        <w:rFonts w:ascii="仿宋_GB2312" w:hAnsi="Times New Roman" w:eastAsia="仿宋_GB2312" w:cs="Times New Roman"/>
        <w:sz w:val="18"/>
        <w:szCs w:val="18"/>
        <w:lang w:val="en-US" w:eastAsia="zh-CN" w:bidi="ar-SA"/>
      </w:rPr>
      <w:tab/>
    </w:r>
    <w:r>
      <w:rPr>
        <w:rFonts w:ascii="仿宋_GB2312" w:hAnsi="Times New Roman" w:eastAsia="仿宋_GB2312" w:cs="Times New Roman"/>
        <w:sz w:val="18"/>
        <w:szCs w:val="18"/>
        <w:lang w:val="en-US" w:eastAsia="zh-CN" w:bidi="ar-SA"/>
      </w:rPr>
      <w:tab/>
    </w:r>
    <w:r>
      <w:rPr>
        <w:rFonts w:ascii="仿宋_GB2312" w:hAnsi="Times New Roman" w:eastAsia="仿宋_GB2312" w:cs="Times New Roman"/>
        <w:sz w:val="18"/>
        <w:szCs w:val="18"/>
        <w:lang w:val="en-US" w:eastAsia="zh-CN" w:bidi="ar-SA"/>
      </w:rPr>
      <w:t xml:space="preserve">                                    </w:t>
    </w:r>
    <w:r>
      <w:rPr>
        <w:rFonts w:hint="eastAsia" w:ascii="宋体" w:hAnsi="宋体" w:eastAsia="宋体" w:cs="宋体"/>
        <w:sz w:val="18"/>
        <w:szCs w:val="18"/>
        <w:lang w:val="en-US" w:eastAsia="zh-CN" w:bidi="ar-S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80383"/>
    <w:multiLevelType w:val="singleLevel"/>
    <w:tmpl w:val="CCB803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D4C5A"/>
    <w:rsid w:val="6A9816EF"/>
    <w:rsid w:val="705D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2026-06-23T10:03:00Z</dcterms:created>
  <dc:creator>程瑞</dc:creator>
  <cp:lastModifiedBy>程瑞</cp:lastModifiedBy>
  <dcterms:modified xsi:type="dcterms:W3CDTF">2026-06-23T10:03:33Z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9C6C453B22BA4E2D9558A2FC19194AD4_11</vt:lpwstr>
  </property>
  <property fmtid="{D5CDD505-2E9C-101B-9397-08002B2CF9AE}" pid="4" name="KSOTemplateDocerSaveRecord">
    <vt:lpwstr>eyJoZGlkIjoiYjI5MmI4MDMwY2YzNzM0NjE3OWY3NDFkODA5MmU5MWUiLCJ1c2VySWQiOiI1NjU1Njc3NjQifQ==</vt:lpwstr>
  </property>
</Properties>
</file>